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310B50" w:rsidRDefault="00310B50" w:rsidP="00310B50">
      <w:pPr>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27D55">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D27D55">
        <w:rPr>
          <w:rFonts w:ascii="Times New Roman" w:hAnsi="Times New Roman" w:cs="Times New Roman"/>
          <w:sz w:val="24"/>
        </w:rPr>
        <w:fldChar w:fldCharType="separate"/>
      </w:r>
      <w:r w:rsidR="00A64DD6">
        <w:rPr>
          <w:rFonts w:ascii="Times New Roman" w:hAnsi="Times New Roman" w:cs="Times New Roman"/>
          <w:noProof/>
          <w:sz w:val="24"/>
        </w:rPr>
        <w:t>October 1, 2014</w:t>
      </w:r>
      <w:r w:rsidR="00D27D55">
        <w:rPr>
          <w:rFonts w:ascii="Times New Roman" w:hAnsi="Times New Roman" w:cs="Times New Roman"/>
          <w:sz w:val="24"/>
        </w:rPr>
        <w:fldChar w:fldCharType="end"/>
      </w: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310B50" w:rsidRDefault="00310B50" w:rsidP="00310B50">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310B50" w:rsidRDefault="00310B50" w:rsidP="00310B50">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310B50" w:rsidRDefault="00310B50" w:rsidP="00310B50">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r>
        <w:rPr>
          <w:rFonts w:ascii="Times New Roman" w:hAnsi="Times New Roman" w:cs="Times New Roman"/>
          <w:sz w:val="24"/>
        </w:rPr>
        <w:t>Dear Insureds:</w:t>
      </w: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r>
        <w:rPr>
          <w:rFonts w:ascii="Times New Roman" w:hAnsi="Times New Roman" w:cs="Times New Roman"/>
          <w:sz w:val="24"/>
        </w:rPr>
        <w:t>The purpose of this letter is to advise you that MPIUA’s investigation has been completed and to further advise you that after an evaluation of the information gathered during the investigation in relation to the applicable provisions of your policy, MPIUA must respectfully decline to honor your claim.  In support of MPIUA’s above stated denial of coverage, please be aware of the following.</w:t>
      </w: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r>
        <w:rPr>
          <w:rFonts w:ascii="Times New Roman" w:hAnsi="Times New Roman" w:cs="Times New Roman"/>
          <w:sz w:val="24"/>
        </w:rPr>
        <w:t>We inspected the property on</w:t>
      </w:r>
      <w:r w:rsidR="00F25982">
        <w:rPr>
          <w:rFonts w:ascii="Times New Roman" w:hAnsi="Times New Roman" w:cs="Times New Roman"/>
          <w:sz w:val="24"/>
        </w:rPr>
        <w:t xml:space="preserve"> ________</w:t>
      </w:r>
      <w:r>
        <w:rPr>
          <w:rFonts w:ascii="Times New Roman" w:hAnsi="Times New Roman" w:cs="Times New Roman"/>
          <w:sz w:val="24"/>
        </w:rPr>
        <w:t xml:space="preserve">.  We were shown that water damage to the ceilings of the </w:t>
      </w:r>
      <w:r w:rsidR="00F25982">
        <w:rPr>
          <w:rFonts w:ascii="Times New Roman" w:hAnsi="Times New Roman" w:cs="Times New Roman"/>
          <w:sz w:val="24"/>
        </w:rPr>
        <w:t>__________</w:t>
      </w:r>
      <w:r>
        <w:rPr>
          <w:rFonts w:ascii="Times New Roman" w:hAnsi="Times New Roman" w:cs="Times New Roman"/>
          <w:sz w:val="24"/>
        </w:rPr>
        <w:t>.  It appeared that the water was entering from the roof.  We could not see any damage to the roof from the ground.  We have had the roof inspected.  We have received their report, a copy of which is enclosed.  The report states that the water is coming through the older, deteriorated shingle and rolled   There is no evidence of storm damage to the roof.</w:t>
      </w:r>
    </w:p>
    <w:p w:rsidR="00310B50" w:rsidRDefault="00310B50" w:rsidP="00310B50">
      <w:pPr>
        <w:jc w:val="both"/>
        <w:rPr>
          <w:rFonts w:ascii="Times New Roman" w:hAnsi="Times New Roman" w:cs="Times New Roman"/>
          <w:sz w:val="24"/>
        </w:rPr>
      </w:pPr>
      <w:r>
        <w:rPr>
          <w:rFonts w:ascii="Times New Roman" w:hAnsi="Times New Roman" w:cs="Times New Roman"/>
          <w:sz w:val="24"/>
        </w:rPr>
        <w:t xml:space="preserve"> </w:t>
      </w:r>
    </w:p>
    <w:p w:rsidR="00310B50" w:rsidRDefault="00310B50" w:rsidP="00310B50">
      <w:pPr>
        <w:jc w:val="both"/>
        <w:rPr>
          <w:rFonts w:ascii="Times New Roman" w:hAnsi="Times New Roman" w:cs="Times New Roman"/>
          <w:sz w:val="24"/>
        </w:rPr>
      </w:pPr>
      <w:r>
        <w:rPr>
          <w:rFonts w:ascii="Times New Roman" w:hAnsi="Times New Roman" w:cs="Times New Roman"/>
          <w:sz w:val="24"/>
        </w:rPr>
        <w:t>A review of the HO-3 policy form, which provides coverage for your property, has determined that the policy does not provide coverage for wear and tear or deterioration.  We would refer you to page 8 of 22 of the HO-3 policy form entitled Section 1-Perils Insured Against, from which we quote in part:</w:t>
      </w:r>
    </w:p>
    <w:p w:rsidR="00310B50" w:rsidRDefault="00310B50" w:rsidP="00310B50">
      <w:pPr>
        <w:jc w:val="both"/>
        <w:rPr>
          <w:rFonts w:ascii="Times New Roman" w:hAnsi="Times New Roman" w:cs="Times New Roman"/>
          <w:sz w:val="24"/>
        </w:rPr>
      </w:pPr>
    </w:p>
    <w:p w:rsidR="00310B50" w:rsidRDefault="00310B50" w:rsidP="00FA121D">
      <w:pPr>
        <w:pStyle w:val="Heading1"/>
        <w:jc w:val="left"/>
      </w:pPr>
      <w:r>
        <w:t>“SECTION I – PERILS INSURED AGAINST</w:t>
      </w:r>
    </w:p>
    <w:p w:rsidR="00310B50" w:rsidRDefault="00310B50" w:rsidP="00310B50">
      <w:pPr>
        <w:rPr>
          <w:rFonts w:ascii="Times New Roman" w:hAnsi="Times New Roman" w:cs="Times New Roman"/>
          <w:b/>
          <w:bCs/>
          <w:sz w:val="24"/>
        </w:rPr>
      </w:pPr>
    </w:p>
    <w:p w:rsidR="00310B50" w:rsidRDefault="00310B50" w:rsidP="00310B50">
      <w:pPr>
        <w:jc w:val="both"/>
        <w:rPr>
          <w:rFonts w:ascii="Times New Roman" w:hAnsi="Times New Roman" w:cs="Times New Roman"/>
          <w:b/>
          <w:bCs/>
          <w:sz w:val="24"/>
        </w:rPr>
      </w:pPr>
      <w:r>
        <w:rPr>
          <w:rFonts w:ascii="Times New Roman" w:hAnsi="Times New Roman" w:cs="Times New Roman"/>
          <w:b/>
          <w:bCs/>
          <w:sz w:val="24"/>
        </w:rPr>
        <w:t>A.</w:t>
      </w:r>
      <w:r>
        <w:rPr>
          <w:rFonts w:ascii="Times New Roman" w:hAnsi="Times New Roman" w:cs="Times New Roman"/>
          <w:b/>
          <w:bCs/>
          <w:sz w:val="24"/>
        </w:rPr>
        <w:tab/>
        <w:t>Coverage A – Dwelling and Coverage B – Other Structures</w:t>
      </w:r>
    </w:p>
    <w:p w:rsidR="00310B50" w:rsidRDefault="00310B50" w:rsidP="00310B50">
      <w:pPr>
        <w:numPr>
          <w:ilvl w:val="0"/>
          <w:numId w:val="4"/>
        </w:numPr>
        <w:jc w:val="both"/>
        <w:rPr>
          <w:rFonts w:ascii="Times New Roman" w:hAnsi="Times New Roman" w:cs="Times New Roman"/>
          <w:sz w:val="24"/>
        </w:rPr>
      </w:pPr>
      <w:r>
        <w:rPr>
          <w:rFonts w:ascii="Times New Roman" w:hAnsi="Times New Roman" w:cs="Times New Roman"/>
          <w:sz w:val="24"/>
        </w:rPr>
        <w:t xml:space="preserve">We insure against risk of direct physical loss to property described in Coverages </w:t>
      </w:r>
      <w:r>
        <w:rPr>
          <w:rFonts w:ascii="Times New Roman" w:hAnsi="Times New Roman" w:cs="Times New Roman"/>
          <w:b/>
          <w:bCs/>
          <w:sz w:val="24"/>
        </w:rPr>
        <w:t>A</w:t>
      </w:r>
      <w:r>
        <w:rPr>
          <w:rFonts w:ascii="Times New Roman" w:hAnsi="Times New Roman" w:cs="Times New Roman"/>
          <w:sz w:val="24"/>
        </w:rPr>
        <w:t xml:space="preserve"> and </w:t>
      </w:r>
      <w:r>
        <w:rPr>
          <w:rFonts w:ascii="Times New Roman" w:hAnsi="Times New Roman" w:cs="Times New Roman"/>
          <w:b/>
          <w:bCs/>
          <w:sz w:val="24"/>
        </w:rPr>
        <w:t>B</w:t>
      </w:r>
      <w:r>
        <w:rPr>
          <w:rFonts w:ascii="Times New Roman" w:hAnsi="Times New Roman" w:cs="Times New Roman"/>
          <w:sz w:val="24"/>
        </w:rPr>
        <w:t>.</w:t>
      </w:r>
    </w:p>
    <w:p w:rsidR="00310B50" w:rsidRDefault="00310B50" w:rsidP="00310B50">
      <w:pPr>
        <w:ind w:left="72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bCs/>
          <w:sz w:val="24"/>
        </w:rPr>
        <w:t>2.</w:t>
      </w:r>
      <w:r>
        <w:rPr>
          <w:rFonts w:ascii="Times New Roman" w:hAnsi="Times New Roman" w:cs="Times New Roman"/>
          <w:b/>
          <w:bCs/>
          <w:sz w:val="24"/>
        </w:rPr>
        <w:tab/>
      </w:r>
      <w:r>
        <w:rPr>
          <w:rFonts w:ascii="Times New Roman" w:hAnsi="Times New Roman" w:cs="Times New Roman"/>
          <w:sz w:val="24"/>
        </w:rPr>
        <w:t>We do not insure, however, for loss:</w:t>
      </w:r>
    </w:p>
    <w:p w:rsidR="00310B50" w:rsidRDefault="00310B50" w:rsidP="00310B50">
      <w:pPr>
        <w:ind w:left="1440"/>
        <w:jc w:val="both"/>
        <w:rPr>
          <w:rFonts w:ascii="Times New Roman" w:hAnsi="Times New Roman" w:cs="Times New Roman"/>
          <w:sz w:val="24"/>
        </w:rPr>
      </w:pPr>
      <w:r>
        <w:rPr>
          <w:rFonts w:ascii="Times New Roman" w:hAnsi="Times New Roman" w:cs="Times New Roman"/>
          <w:b/>
          <w:bCs/>
          <w:sz w:val="24"/>
        </w:rPr>
        <w:t>a.</w:t>
      </w:r>
      <w:r>
        <w:rPr>
          <w:rFonts w:ascii="Times New Roman" w:hAnsi="Times New Roman" w:cs="Times New Roman"/>
          <w:sz w:val="24"/>
        </w:rPr>
        <w:tab/>
        <w:t xml:space="preserve">Excluded under Section </w:t>
      </w:r>
      <w:r>
        <w:rPr>
          <w:rFonts w:ascii="Times New Roman" w:hAnsi="Times New Roman" w:cs="Times New Roman"/>
          <w:b/>
          <w:bCs/>
          <w:sz w:val="24"/>
        </w:rPr>
        <w:t xml:space="preserve">I – </w:t>
      </w:r>
      <w:r>
        <w:rPr>
          <w:rFonts w:ascii="Times New Roman" w:hAnsi="Times New Roman" w:cs="Times New Roman"/>
          <w:sz w:val="24"/>
        </w:rPr>
        <w:t>Exclusions;</w:t>
      </w:r>
    </w:p>
    <w:p w:rsidR="00310B50" w:rsidRDefault="00310B50" w:rsidP="00310B50">
      <w:pPr>
        <w:ind w:left="2160" w:hanging="720"/>
        <w:jc w:val="both"/>
        <w:rPr>
          <w:rFonts w:ascii="Times New Roman" w:hAnsi="Times New Roman" w:cs="Times New Roman"/>
          <w:sz w:val="24"/>
        </w:rPr>
      </w:pPr>
      <w:r>
        <w:rPr>
          <w:rFonts w:ascii="Times New Roman" w:hAnsi="Times New Roman" w:cs="Times New Roman"/>
          <w:b/>
          <w:bCs/>
          <w:sz w:val="24"/>
        </w:rPr>
        <w:t>b.</w:t>
      </w:r>
      <w:r>
        <w:rPr>
          <w:rFonts w:ascii="Times New Roman" w:hAnsi="Times New Roman" w:cs="Times New Roman"/>
          <w:sz w:val="24"/>
        </w:rPr>
        <w:tab/>
        <w:t xml:space="preserve">Involving collapse, except as provided in </w:t>
      </w:r>
      <w:r>
        <w:rPr>
          <w:rFonts w:ascii="Times New Roman" w:hAnsi="Times New Roman" w:cs="Times New Roman"/>
          <w:b/>
          <w:bCs/>
          <w:sz w:val="24"/>
        </w:rPr>
        <w:t>E.8</w:t>
      </w:r>
      <w:r>
        <w:rPr>
          <w:rFonts w:ascii="Times New Roman" w:hAnsi="Times New Roman" w:cs="Times New Roman"/>
          <w:sz w:val="24"/>
        </w:rPr>
        <w:t xml:space="preserve">.  Collapse under Section </w:t>
      </w:r>
      <w:r>
        <w:rPr>
          <w:rFonts w:ascii="Times New Roman" w:hAnsi="Times New Roman" w:cs="Times New Roman"/>
          <w:b/>
          <w:bCs/>
          <w:sz w:val="24"/>
        </w:rPr>
        <w:t>I</w:t>
      </w:r>
      <w:r>
        <w:rPr>
          <w:rFonts w:ascii="Times New Roman" w:hAnsi="Times New Roman" w:cs="Times New Roman"/>
          <w:sz w:val="24"/>
        </w:rPr>
        <w:t xml:space="preserve"> – Property Coverages; or</w:t>
      </w:r>
    </w:p>
    <w:p w:rsidR="00310B50" w:rsidRDefault="00310B50" w:rsidP="00310B50">
      <w:pPr>
        <w:ind w:left="1440"/>
        <w:jc w:val="both"/>
        <w:rPr>
          <w:rFonts w:ascii="Times New Roman" w:hAnsi="Times New Roman" w:cs="Times New Roman"/>
          <w:sz w:val="24"/>
        </w:rPr>
      </w:pPr>
      <w:r>
        <w:rPr>
          <w:rFonts w:ascii="Times New Roman" w:hAnsi="Times New Roman" w:cs="Times New Roman"/>
          <w:b/>
          <w:bCs/>
          <w:sz w:val="24"/>
        </w:rPr>
        <w:t>c.</w:t>
      </w:r>
      <w:r>
        <w:rPr>
          <w:rFonts w:ascii="Times New Roman" w:hAnsi="Times New Roman" w:cs="Times New Roman"/>
          <w:sz w:val="24"/>
        </w:rPr>
        <w:tab/>
        <w:t>Caused by:</w:t>
      </w:r>
    </w:p>
    <w:p w:rsidR="00310B50" w:rsidRDefault="00310B50" w:rsidP="00A947FB">
      <w:pPr>
        <w:pStyle w:val="BodyTextIndent"/>
        <w:ind w:firstLine="360"/>
        <w:jc w:val="both"/>
        <w:rPr>
          <w:rFonts w:ascii="Times New Roman" w:hAnsi="Times New Roman"/>
          <w:sz w:val="24"/>
        </w:rPr>
      </w:pPr>
      <w:r>
        <w:rPr>
          <w:rFonts w:ascii="Times New Roman" w:hAnsi="Times New Roman"/>
          <w:b/>
          <w:bCs/>
          <w:sz w:val="24"/>
        </w:rPr>
        <w:t>(6)</w:t>
      </w:r>
      <w:r>
        <w:rPr>
          <w:rFonts w:ascii="Times New Roman" w:hAnsi="Times New Roman"/>
          <w:sz w:val="24"/>
        </w:rPr>
        <w:tab/>
        <w:t>Any of the following:</w:t>
      </w:r>
    </w:p>
    <w:p w:rsidR="00310B50" w:rsidRDefault="00310B50" w:rsidP="00310B50">
      <w:pPr>
        <w:pStyle w:val="BodyTextIndent"/>
        <w:ind w:left="3600" w:hanging="720"/>
        <w:jc w:val="both"/>
        <w:rPr>
          <w:rFonts w:ascii="Times New Roman" w:hAnsi="Times New Roman"/>
          <w:sz w:val="24"/>
        </w:rPr>
      </w:pPr>
      <w:r>
        <w:rPr>
          <w:rFonts w:ascii="Times New Roman" w:hAnsi="Times New Roman"/>
          <w:b/>
          <w:bCs/>
          <w:sz w:val="24"/>
        </w:rPr>
        <w:t>(a)</w:t>
      </w:r>
      <w:r>
        <w:rPr>
          <w:rFonts w:ascii="Times New Roman" w:hAnsi="Times New Roman"/>
          <w:sz w:val="24"/>
        </w:rPr>
        <w:tab/>
        <w:t>Wear and tear, marring, deterioration;</w:t>
      </w:r>
    </w:p>
    <w:p w:rsidR="00310B50" w:rsidRDefault="00310B50" w:rsidP="00310B50">
      <w:pPr>
        <w:pStyle w:val="BodyTextIndent"/>
        <w:ind w:left="3600" w:hanging="720"/>
        <w:jc w:val="both"/>
        <w:rPr>
          <w:rFonts w:ascii="Times New Roman" w:hAnsi="Times New Roman"/>
          <w:sz w:val="24"/>
        </w:rPr>
      </w:pPr>
      <w:r>
        <w:rPr>
          <w:rFonts w:ascii="Times New Roman" w:hAnsi="Times New Roman"/>
          <w:b/>
          <w:bCs/>
          <w:sz w:val="24"/>
        </w:rPr>
        <w:t>(b)</w:t>
      </w:r>
      <w:r>
        <w:rPr>
          <w:rFonts w:ascii="Times New Roman" w:hAnsi="Times New Roman"/>
          <w:sz w:val="24"/>
        </w:rPr>
        <w:tab/>
        <w:t>Mechanical breakdown, latent defect, inherent vice, or any quality in property that causes it to damage or destroy itself;</w:t>
      </w:r>
    </w:p>
    <w:p w:rsidR="00310B50" w:rsidRDefault="00310B50" w:rsidP="00310B50">
      <w:pPr>
        <w:pStyle w:val="BodyTextIndent"/>
        <w:ind w:left="3600" w:hanging="720"/>
        <w:jc w:val="both"/>
        <w:rPr>
          <w:rFonts w:ascii="Times New Roman" w:hAnsi="Times New Roman"/>
          <w:sz w:val="24"/>
        </w:rPr>
      </w:pPr>
      <w:r>
        <w:rPr>
          <w:rFonts w:ascii="Times New Roman" w:hAnsi="Times New Roman"/>
          <w:b/>
          <w:bCs/>
          <w:sz w:val="24"/>
        </w:rPr>
        <w:t>(c)</w:t>
      </w:r>
      <w:r>
        <w:rPr>
          <w:rFonts w:ascii="Times New Roman" w:hAnsi="Times New Roman"/>
          <w:sz w:val="24"/>
        </w:rPr>
        <w:tab/>
        <w:t>Smog, rust or other corrosion, or dry rot;</w:t>
      </w:r>
    </w:p>
    <w:p w:rsidR="00310B50" w:rsidRDefault="00310B50" w:rsidP="00310B50">
      <w:pPr>
        <w:pStyle w:val="BodyTextIndent"/>
        <w:ind w:left="3600" w:hanging="720"/>
        <w:jc w:val="both"/>
        <w:rPr>
          <w:rFonts w:ascii="Times New Roman" w:hAnsi="Times New Roman"/>
          <w:sz w:val="24"/>
        </w:rPr>
      </w:pPr>
      <w:r>
        <w:rPr>
          <w:rFonts w:ascii="Times New Roman" w:hAnsi="Times New Roman"/>
          <w:b/>
          <w:bCs/>
          <w:sz w:val="24"/>
        </w:rPr>
        <w:t>(d)</w:t>
      </w:r>
      <w:r>
        <w:rPr>
          <w:rFonts w:ascii="Times New Roman" w:hAnsi="Times New Roman"/>
          <w:sz w:val="24"/>
        </w:rPr>
        <w:tab/>
        <w:t>Smoke from agricultural smudging or industrial operations;</w:t>
      </w:r>
    </w:p>
    <w:p w:rsidR="00310B50" w:rsidRDefault="00310B50" w:rsidP="00310B50">
      <w:pPr>
        <w:pStyle w:val="BodyTextIndent"/>
        <w:ind w:left="3600" w:hanging="720"/>
        <w:jc w:val="both"/>
        <w:rPr>
          <w:rFonts w:ascii="Times New Roman" w:hAnsi="Times New Roman"/>
          <w:sz w:val="24"/>
        </w:rPr>
      </w:pPr>
      <w:r>
        <w:rPr>
          <w:rFonts w:ascii="Times New Roman" w:hAnsi="Times New Roman"/>
          <w:b/>
          <w:bCs/>
          <w:sz w:val="24"/>
        </w:rPr>
        <w:t>(e)</w:t>
      </w:r>
      <w:r>
        <w:rPr>
          <w:rFonts w:ascii="Times New Roman" w:hAnsi="Times New Roman"/>
          <w:sz w:val="24"/>
        </w:rPr>
        <w:tab/>
        <w:t xml:space="preserve">Discharge, dispersal, seepage, migration, release or escape of pollutants unless the discharge, dispersal, seepage, migration, release or escape is itself caused by a Peril Insured Against named under Coverage </w:t>
      </w:r>
      <w:r>
        <w:rPr>
          <w:rFonts w:ascii="Times New Roman" w:hAnsi="Times New Roman"/>
          <w:b/>
          <w:bCs/>
          <w:sz w:val="24"/>
        </w:rPr>
        <w:t>C</w:t>
      </w:r>
      <w:r>
        <w:rPr>
          <w:rFonts w:ascii="Times New Roman" w:hAnsi="Times New Roman"/>
          <w:sz w:val="24"/>
        </w:rPr>
        <w:t>.</w:t>
      </w:r>
    </w:p>
    <w:p w:rsidR="00310B50" w:rsidRDefault="00310B50" w:rsidP="00310B50">
      <w:pPr>
        <w:pStyle w:val="BodyTextIndent"/>
        <w:ind w:left="3600" w:hanging="720"/>
        <w:jc w:val="both"/>
        <w:rPr>
          <w:rFonts w:ascii="Times New Roman" w:hAnsi="Times New Roman"/>
          <w:sz w:val="24"/>
        </w:rPr>
      </w:pPr>
      <w:r>
        <w:rPr>
          <w:rFonts w:ascii="Times New Roman" w:hAnsi="Times New Roman"/>
          <w:sz w:val="24"/>
        </w:rPr>
        <w:tab/>
        <w:t xml:space="preserve">Pollutants means any solid, liquid, gaseous or thermal irritant or contaminant, including smoke, vapor, soot, fumes, acids, alkalis, </w:t>
      </w:r>
      <w:r>
        <w:rPr>
          <w:rFonts w:ascii="Times New Roman" w:hAnsi="Times New Roman"/>
          <w:sz w:val="24"/>
        </w:rPr>
        <w:lastRenderedPageBreak/>
        <w:t xml:space="preserve">chemicals and waste.  Waste includes materials to be recycled, reconditioned or reclaimed.  </w:t>
      </w:r>
    </w:p>
    <w:p w:rsidR="00310B50" w:rsidRDefault="00310B50" w:rsidP="00310B50">
      <w:pPr>
        <w:pStyle w:val="BodyTextIndent"/>
        <w:ind w:left="3600" w:hanging="720"/>
        <w:jc w:val="both"/>
        <w:rPr>
          <w:rFonts w:ascii="Times New Roman" w:hAnsi="Times New Roman"/>
          <w:sz w:val="24"/>
        </w:rPr>
      </w:pPr>
      <w:r>
        <w:rPr>
          <w:rFonts w:ascii="Times New Roman" w:hAnsi="Times New Roman"/>
          <w:b/>
          <w:bCs/>
          <w:sz w:val="24"/>
        </w:rPr>
        <w:t>(f)</w:t>
      </w:r>
      <w:r>
        <w:rPr>
          <w:rFonts w:ascii="Times New Roman" w:hAnsi="Times New Roman"/>
          <w:sz w:val="24"/>
        </w:rPr>
        <w:tab/>
        <w:t>Settling, shrinking, bulging or expansion, including resultant cracking, of bulkheads, pavements, patios, footings, foundations, walls, floors, roofs or ceilings;</w:t>
      </w:r>
    </w:p>
    <w:p w:rsidR="00310B50" w:rsidRDefault="00310B50" w:rsidP="00310B50">
      <w:pPr>
        <w:pStyle w:val="BodyTextIndent"/>
        <w:ind w:left="3600" w:hanging="720"/>
        <w:jc w:val="both"/>
        <w:rPr>
          <w:rFonts w:ascii="Times New Roman" w:hAnsi="Times New Roman"/>
          <w:sz w:val="24"/>
        </w:rPr>
      </w:pPr>
      <w:r>
        <w:rPr>
          <w:rFonts w:ascii="Times New Roman" w:hAnsi="Times New Roman"/>
          <w:b/>
          <w:bCs/>
          <w:sz w:val="24"/>
        </w:rPr>
        <w:t>(g)</w:t>
      </w:r>
      <w:r>
        <w:rPr>
          <w:rFonts w:ascii="Times New Roman" w:hAnsi="Times New Roman"/>
          <w:sz w:val="24"/>
        </w:rPr>
        <w:tab/>
        <w:t>Birds, vermin, rodents, or insects; or</w:t>
      </w:r>
    </w:p>
    <w:p w:rsidR="00310B50" w:rsidRDefault="00310B50" w:rsidP="00310B50">
      <w:pPr>
        <w:pStyle w:val="BodyTextIndent"/>
        <w:ind w:left="3600" w:hanging="720"/>
        <w:jc w:val="both"/>
        <w:rPr>
          <w:rFonts w:ascii="Times New Roman" w:hAnsi="Times New Roman"/>
          <w:sz w:val="24"/>
        </w:rPr>
      </w:pPr>
      <w:r>
        <w:rPr>
          <w:rFonts w:ascii="Times New Roman" w:hAnsi="Times New Roman"/>
          <w:b/>
          <w:bCs/>
          <w:sz w:val="24"/>
        </w:rPr>
        <w:t>(h)</w:t>
      </w:r>
      <w:r>
        <w:rPr>
          <w:rFonts w:ascii="Times New Roman" w:hAnsi="Times New Roman"/>
          <w:sz w:val="24"/>
        </w:rPr>
        <w:tab/>
        <w:t xml:space="preserve">Animals owned or kept by an "insured."” </w:t>
      </w:r>
    </w:p>
    <w:p w:rsidR="00310B50" w:rsidRDefault="00310B50" w:rsidP="00310B50">
      <w:pPr>
        <w:pStyle w:val="BodyTextIndent"/>
        <w:ind w:hanging="720"/>
        <w:jc w:val="both"/>
        <w:rPr>
          <w:rFonts w:ascii="Times New Roman" w:hAnsi="Times New Roman"/>
          <w:sz w:val="24"/>
        </w:rPr>
      </w:pPr>
    </w:p>
    <w:p w:rsidR="00310B50" w:rsidRDefault="00310B50" w:rsidP="00310B50">
      <w:pPr>
        <w:pStyle w:val="BodyTextIndent"/>
        <w:ind w:left="0"/>
        <w:jc w:val="both"/>
        <w:rPr>
          <w:rFonts w:ascii="Times New Roman" w:hAnsi="Times New Roman"/>
          <w:sz w:val="24"/>
        </w:rPr>
      </w:pPr>
      <w:r>
        <w:rPr>
          <w:rFonts w:ascii="Times New Roman" w:hAnsi="Times New Roman"/>
          <w:sz w:val="24"/>
        </w:rPr>
        <w:t>We have prepared the enclosed estimate for the interior water damages.  The total of the estimate is $</w:t>
      </w:r>
      <w:r w:rsidR="00F25982">
        <w:rPr>
          <w:rFonts w:ascii="Times New Roman" w:hAnsi="Times New Roman"/>
          <w:sz w:val="24"/>
        </w:rPr>
        <w:t>______</w:t>
      </w:r>
      <w:r>
        <w:rPr>
          <w:rFonts w:ascii="Times New Roman" w:hAnsi="Times New Roman"/>
          <w:sz w:val="24"/>
        </w:rPr>
        <w:t>.  Unfortunately, this amount is less than the $</w:t>
      </w:r>
      <w:r w:rsidR="00F25982">
        <w:rPr>
          <w:rFonts w:ascii="Times New Roman" w:hAnsi="Times New Roman"/>
          <w:sz w:val="24"/>
        </w:rPr>
        <w:t>____</w:t>
      </w:r>
      <w:r>
        <w:rPr>
          <w:rFonts w:ascii="Times New Roman" w:hAnsi="Times New Roman"/>
          <w:sz w:val="24"/>
        </w:rPr>
        <w:t xml:space="preserve"> deductible on your policy.</w:t>
      </w:r>
    </w:p>
    <w:p w:rsidR="00310B50" w:rsidRDefault="00310B50" w:rsidP="00310B50">
      <w:pPr>
        <w:jc w:val="both"/>
        <w:rPr>
          <w:rFonts w:ascii="Times New Roman" w:hAnsi="Times New Roman" w:cs="Times New Roman"/>
          <w:sz w:val="24"/>
        </w:rPr>
      </w:pPr>
      <w:r>
        <w:rPr>
          <w:rFonts w:ascii="Times New Roman" w:hAnsi="Times New Roman" w:cs="Times New Roman"/>
          <w:sz w:val="24"/>
        </w:rPr>
        <w:t>We regret, therefore, that we cannot be of service to you relative to this matter.</w:t>
      </w: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r>
        <w:rPr>
          <w:rFonts w:ascii="Times New Roman" w:hAnsi="Times New Roman" w:cs="Times New Roman"/>
          <w:sz w:val="24"/>
        </w:rPr>
        <w:t>Please also be further advised that the applicable policy and statutory provisions state that no suit or action can be brought against this insurer for the recovery of any claim by virtue of this policy unless the policy provisions have been complied with and the action is started within two (2) years after your date of loss (see policy provision “suits against us” and M. G. L. c. 175 sec. 99 sec. Twelfth).</w:t>
      </w: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r>
        <w:rPr>
          <w:rFonts w:ascii="Times New Roman" w:hAnsi="Times New Roman" w:cs="Times New Roman"/>
          <w:sz w:val="24"/>
        </w:rPr>
        <w:t>MPIUA continues to maintain its full reservation of rights regarding any rights, privileges and/or defenses available to it by law and the contract of insurance.</w:t>
      </w: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r>
        <w:rPr>
          <w:rFonts w:ascii="Times New Roman" w:hAnsi="Times New Roman" w:cs="Times New Roman"/>
          <w:sz w:val="24"/>
        </w:rPr>
        <w:t>This correspondence or any other action that is taken by MPIUA through its employees, agents and/or designees is not and should not be considered as a waiver of those rights, privileges and/or defenses.</w:t>
      </w:r>
    </w:p>
    <w:p w:rsidR="00310B50" w:rsidRDefault="00310B50" w:rsidP="00310B50">
      <w:pPr>
        <w:jc w:val="both"/>
        <w:rPr>
          <w:rFonts w:ascii="Times New Roman" w:hAnsi="Times New Roman" w:cs="Times New Roman"/>
          <w:sz w:val="24"/>
        </w:rPr>
      </w:pPr>
    </w:p>
    <w:p w:rsidR="00310B50" w:rsidRDefault="00310B50" w:rsidP="00310B50">
      <w:pPr>
        <w:jc w:val="both"/>
        <w:rPr>
          <w:rFonts w:ascii="Times New Roman" w:hAnsi="Times New Roman" w:cs="Times New Roman"/>
          <w:sz w:val="24"/>
        </w:rPr>
      </w:pPr>
      <w:r>
        <w:rPr>
          <w:rFonts w:ascii="Times New Roman" w:hAnsi="Times New Roman" w:cs="Times New Roman"/>
          <w:sz w:val="24"/>
        </w:rPr>
        <w:t>Sincerely,</w:t>
      </w:r>
    </w:p>
    <w:p w:rsidR="00310B50" w:rsidRDefault="00310B50" w:rsidP="00310B50">
      <w:pPr>
        <w:jc w:val="both"/>
        <w:rPr>
          <w:rFonts w:ascii="Times New Roman" w:hAnsi="Times New Roman" w:cs="Times New Roman"/>
          <w:sz w:val="24"/>
        </w:rPr>
      </w:pPr>
    </w:p>
    <w:p w:rsidR="00310B50" w:rsidRDefault="00310B50" w:rsidP="00310B50">
      <w:pPr>
        <w:pStyle w:val="Heading2"/>
      </w:pPr>
    </w:p>
    <w:p w:rsidR="0030324C" w:rsidRDefault="00310B50" w:rsidP="00FA121D">
      <w:pPr>
        <w:jc w:val="both"/>
        <w:rPr>
          <w:rFonts w:ascii="Times New Roman" w:hAnsi="Times New Roman" w:cs="Times New Roman"/>
          <w:sz w:val="24"/>
        </w:rPr>
      </w:pPr>
      <w:r>
        <w:rPr>
          <w:rFonts w:ascii="Times New Roman" w:hAnsi="Times New Roman" w:cs="Times New Roman"/>
          <w:sz w:val="24"/>
        </w:rPr>
        <w:t>Claims Adjuster</w:t>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r w:rsidR="0030324C">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D6" w:rsidRDefault="00A64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D6" w:rsidRDefault="00A64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D6" w:rsidRDefault="00A64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D6" w:rsidRDefault="00A64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A64DD6" w:rsidRDefault="004F40AC" w:rsidP="00A64DD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3">
    <w:nsid w:val="4B6B7C6D"/>
    <w:multiLevelType w:val="hybridMultilevel"/>
    <w:tmpl w:val="BCE89B64"/>
    <w:lvl w:ilvl="0" w:tplc="8B441E2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10B50"/>
    <w:rsid w:val="00342756"/>
    <w:rsid w:val="00346EA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6E86"/>
    <w:rsid w:val="00726E11"/>
    <w:rsid w:val="008460F6"/>
    <w:rsid w:val="008A1379"/>
    <w:rsid w:val="00925EF6"/>
    <w:rsid w:val="00956E63"/>
    <w:rsid w:val="00957FE6"/>
    <w:rsid w:val="009A7EC2"/>
    <w:rsid w:val="009C72CF"/>
    <w:rsid w:val="00A44884"/>
    <w:rsid w:val="00A64DD6"/>
    <w:rsid w:val="00A947FB"/>
    <w:rsid w:val="00B7464B"/>
    <w:rsid w:val="00BA007F"/>
    <w:rsid w:val="00BB4988"/>
    <w:rsid w:val="00BC0104"/>
    <w:rsid w:val="00BD23BB"/>
    <w:rsid w:val="00BF7070"/>
    <w:rsid w:val="00C27F8D"/>
    <w:rsid w:val="00CC00F2"/>
    <w:rsid w:val="00CF2E8B"/>
    <w:rsid w:val="00D27D55"/>
    <w:rsid w:val="00D94838"/>
    <w:rsid w:val="00DB15F4"/>
    <w:rsid w:val="00E14F69"/>
    <w:rsid w:val="00E51880"/>
    <w:rsid w:val="00E52F6F"/>
    <w:rsid w:val="00E53472"/>
    <w:rsid w:val="00EE210E"/>
    <w:rsid w:val="00EF4CC0"/>
    <w:rsid w:val="00F25982"/>
    <w:rsid w:val="00F703ED"/>
    <w:rsid w:val="00FA121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310B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310B50"/>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10B50"/>
    <w:pPr>
      <w:spacing w:after="120"/>
      <w:ind w:left="360"/>
    </w:pPr>
  </w:style>
  <w:style w:type="character" w:customStyle="1" w:styleId="BodyTextIndentChar">
    <w:name w:val="Body Text Indent Char"/>
    <w:basedOn w:val="DefaultParagraphFont"/>
    <w:link w:val="BodyTextIndent"/>
    <w:uiPriority w:val="99"/>
    <w:semiHidden/>
    <w:rsid w:val="00310B5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2">
    <w:name w:val="heading 2"/>
    <w:basedOn w:val="Normal"/>
    <w:next w:val="Normal"/>
    <w:link w:val="Heading2Char"/>
    <w:uiPriority w:val="9"/>
    <w:semiHidden/>
    <w:unhideWhenUsed/>
    <w:qFormat/>
    <w:rsid w:val="00310B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310B50"/>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310B50"/>
    <w:pPr>
      <w:spacing w:after="120"/>
      <w:ind w:left="360"/>
    </w:pPr>
  </w:style>
  <w:style w:type="character" w:customStyle="1" w:styleId="BodyTextIndentChar">
    <w:name w:val="Body Text Indent Char"/>
    <w:basedOn w:val="DefaultParagraphFont"/>
    <w:link w:val="BodyTextIndent"/>
    <w:uiPriority w:val="99"/>
    <w:semiHidden/>
    <w:rsid w:val="00310B5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DD0938-150E-45DD-B3A8-6E66AF21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2014-07-08T13:46:00Z</dcterms:created>
  <dcterms:modified xsi:type="dcterms:W3CDTF">2014-10-01T13:11:00Z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