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10565" w:rsidRPr="00910565" w:rsidRDefault="000B0179" w:rsidP="000B0179">
      <w:pPr>
        <w:pStyle w:val="Heading1"/>
        <w:jc w:val="both"/>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r>
      <w:r w:rsidR="00910565">
        <w:tab/>
      </w:r>
      <w:r w:rsidR="00910565">
        <w:tab/>
      </w:r>
      <w:r w:rsidR="00910565">
        <w:tab/>
      </w:r>
      <w:r w:rsidR="00910565">
        <w:tab/>
      </w:r>
      <w:r w:rsidR="00910565">
        <w:tab/>
      </w:r>
      <w:r w:rsidR="00910565">
        <w:tab/>
      </w:r>
      <w:r w:rsidR="00910565">
        <w:tab/>
      </w:r>
      <w:r w:rsidR="00910565">
        <w:tab/>
      </w:r>
      <w:r w:rsidR="00910565">
        <w:tab/>
      </w:r>
      <w:r w:rsidR="001672B9" w:rsidRPr="00910565">
        <w:rPr>
          <w:rFonts w:ascii="Times New Roman" w:hAnsi="Times New Roman" w:cs="Times New Roman"/>
          <w:b w:val="0"/>
        </w:rPr>
        <w:fldChar w:fldCharType="begin"/>
      </w:r>
      <w:r w:rsidR="00910565" w:rsidRPr="00910565">
        <w:rPr>
          <w:rFonts w:ascii="Times New Roman" w:hAnsi="Times New Roman" w:cs="Times New Roman"/>
          <w:b w:val="0"/>
        </w:rPr>
        <w:instrText xml:space="preserve"> TIME \@ "MMMM d, yyyy" </w:instrText>
      </w:r>
      <w:r w:rsidR="001672B9" w:rsidRPr="00910565">
        <w:rPr>
          <w:rFonts w:ascii="Times New Roman" w:hAnsi="Times New Roman" w:cs="Times New Roman"/>
          <w:b w:val="0"/>
        </w:rPr>
        <w:fldChar w:fldCharType="separate"/>
      </w:r>
      <w:r w:rsidR="005E28B4">
        <w:rPr>
          <w:rFonts w:ascii="Times New Roman" w:hAnsi="Times New Roman" w:cs="Times New Roman"/>
          <w:b w:val="0"/>
          <w:noProof/>
        </w:rPr>
        <w:t>October 1, 2014</w:t>
      </w:r>
      <w:r w:rsidR="001672B9" w:rsidRPr="00910565">
        <w:rPr>
          <w:rFonts w:ascii="Times New Roman" w:hAnsi="Times New Roman" w:cs="Times New Roman"/>
          <w:b w:val="0"/>
        </w:rPr>
        <w:fldChar w:fldCharType="end"/>
      </w:r>
    </w:p>
    <w:p w:rsidR="00910565" w:rsidRDefault="00910565" w:rsidP="00910565">
      <w:pPr>
        <w:rPr>
          <w:rFonts w:ascii="Times New Roman" w:hAnsi="Times New Roman" w:cs="Times New Roman"/>
          <w:sz w:val="24"/>
        </w:rPr>
      </w:pPr>
    </w:p>
    <w:p w:rsidR="00910565" w:rsidRDefault="00910565" w:rsidP="00910565">
      <w:pPr>
        <w:rPr>
          <w:rFonts w:ascii="Times New Roman" w:hAnsi="Times New Roman" w:cs="Times New Roman"/>
          <w:sz w:val="24"/>
        </w:rPr>
      </w:pPr>
    </w:p>
    <w:p w:rsidR="00910565" w:rsidRDefault="00910565" w:rsidP="00910565">
      <w:pPr>
        <w:rPr>
          <w:rFonts w:ascii="Times New Roman" w:hAnsi="Times New Roman" w:cs="Times New Roman"/>
          <w:sz w:val="24"/>
        </w:rPr>
      </w:pPr>
    </w:p>
    <w:p w:rsidR="00910565" w:rsidRDefault="00910565" w:rsidP="00910565">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910565" w:rsidRDefault="00910565" w:rsidP="00910565">
      <w:pPr>
        <w:rPr>
          <w:rFonts w:ascii="Times New Roman" w:hAnsi="Times New Roman" w:cs="Times New Roman"/>
          <w:sz w:val="24"/>
        </w:rPr>
      </w:pPr>
    </w:p>
    <w:p w:rsidR="00910565" w:rsidRDefault="00910565" w:rsidP="00910565">
      <w:pPr>
        <w:rPr>
          <w:rFonts w:ascii="Times New Roman" w:hAnsi="Times New Roman" w:cs="Times New Roman"/>
          <w:sz w:val="24"/>
        </w:rPr>
      </w:pPr>
      <w:r>
        <w:rPr>
          <w:rFonts w:ascii="Times New Roman" w:hAnsi="Times New Roman" w:cs="Times New Roman"/>
          <w:sz w:val="24"/>
        </w:rPr>
        <w:t>Dear Insured</w:t>
      </w:r>
    </w:p>
    <w:p w:rsidR="00910565" w:rsidRDefault="00910565" w:rsidP="00910565">
      <w:pPr>
        <w:rPr>
          <w:rFonts w:ascii="Times New Roman" w:hAnsi="Times New Roman" w:cs="Times New Roman"/>
          <w:sz w:val="24"/>
        </w:rPr>
      </w:pPr>
    </w:p>
    <w:p w:rsidR="00910565" w:rsidRDefault="00910565" w:rsidP="00910565">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910565" w:rsidRDefault="00910565" w:rsidP="00910565">
      <w:pPr>
        <w:rPr>
          <w:rFonts w:ascii="Times New Roman" w:hAnsi="Times New Roman" w:cs="Times New Roman"/>
          <w:sz w:val="24"/>
        </w:rPr>
      </w:pPr>
    </w:p>
    <w:p w:rsidR="00910565" w:rsidRDefault="00910565" w:rsidP="00910565">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D25513">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4137B7">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4137B7">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4137B7">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The applicable policy provisions require that:</w:t>
      </w:r>
    </w:p>
    <w:p w:rsidR="00910565" w:rsidRDefault="00910565" w:rsidP="00910565">
      <w:pPr>
        <w:jc w:val="both"/>
        <w:rPr>
          <w:rFonts w:ascii="Times New Roman" w:hAnsi="Times New Roman" w:cs="Times New Roman"/>
          <w:sz w:val="24"/>
        </w:rPr>
      </w:pPr>
    </w:p>
    <w:p w:rsidR="00910565" w:rsidRDefault="00910565" w:rsidP="00910565">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910565" w:rsidRDefault="00910565" w:rsidP="00910565">
      <w:pPr>
        <w:ind w:left="1440"/>
        <w:jc w:val="both"/>
        <w:rPr>
          <w:rFonts w:ascii="Times New Roman" w:hAnsi="Times New Roman" w:cs="Times New Roman"/>
          <w:sz w:val="24"/>
        </w:rPr>
      </w:pPr>
    </w:p>
    <w:p w:rsidR="00910565" w:rsidRDefault="00910565" w:rsidP="00910565">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910565" w:rsidRDefault="00910565" w:rsidP="00910565">
      <w:pPr>
        <w:ind w:left="1440"/>
        <w:jc w:val="both"/>
        <w:rPr>
          <w:rFonts w:ascii="Times New Roman" w:hAnsi="Times New Roman" w:cs="Times New Roman"/>
          <w:sz w:val="24"/>
        </w:rPr>
      </w:pPr>
    </w:p>
    <w:p w:rsidR="00910565" w:rsidRDefault="00910565" w:rsidP="00910565">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910565" w:rsidRDefault="00910565" w:rsidP="00910565">
      <w:pPr>
        <w:ind w:left="2160"/>
        <w:jc w:val="both"/>
        <w:rPr>
          <w:rFonts w:ascii="Times New Roman" w:hAnsi="Times New Roman" w:cs="Times New Roman"/>
          <w:sz w:val="24"/>
        </w:rPr>
      </w:pPr>
    </w:p>
    <w:p w:rsidR="00910565" w:rsidRDefault="00910565" w:rsidP="00910565">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910565" w:rsidRDefault="00910565" w:rsidP="00910565">
      <w:pPr>
        <w:jc w:val="both"/>
        <w:rPr>
          <w:rFonts w:ascii="Times New Roman" w:hAnsi="Times New Roman" w:cs="Times New Roman"/>
          <w:sz w:val="24"/>
        </w:rPr>
      </w:pPr>
    </w:p>
    <w:p w:rsidR="00910565" w:rsidRDefault="00910565" w:rsidP="00910565">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910565" w:rsidRDefault="00910565" w:rsidP="00910565">
      <w:pPr>
        <w:jc w:val="both"/>
        <w:rPr>
          <w:rFonts w:ascii="Times New Roman" w:hAnsi="Times New Roman" w:cs="Times New Roman"/>
          <w:sz w:val="24"/>
        </w:rPr>
      </w:pPr>
    </w:p>
    <w:p w:rsidR="00910565" w:rsidRDefault="00910565" w:rsidP="00910565">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4137B7">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Our discussion with you determined that the leak was due to age and normal wear to the copper water line.  Coverage is not provided for wear and deterioration.  We, therefore, cannot make any payments for any repairs to the water line.</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 xml:space="preserve"> We would refer you to page 8 of 22 of the HO-3 policy form that provides coverage for your property, entitled </w:t>
      </w:r>
      <w:r>
        <w:rPr>
          <w:rFonts w:ascii="Times New Roman" w:hAnsi="Times New Roman" w:cs="Times New Roman"/>
          <w:b/>
          <w:bCs/>
          <w:sz w:val="24"/>
        </w:rPr>
        <w:t>Section 1 – Perils Insured Against</w:t>
      </w:r>
      <w:r>
        <w:rPr>
          <w:rFonts w:ascii="Times New Roman" w:hAnsi="Times New Roman" w:cs="Times New Roman"/>
          <w:sz w:val="24"/>
        </w:rPr>
        <w:t>, from which we quote in part:</w:t>
      </w:r>
    </w:p>
    <w:p w:rsidR="00910565" w:rsidRDefault="00910565" w:rsidP="00910565">
      <w:pPr>
        <w:jc w:val="both"/>
        <w:rPr>
          <w:rFonts w:ascii="Times New Roman" w:hAnsi="Times New Roman" w:cs="Times New Roman"/>
          <w:sz w:val="24"/>
        </w:rPr>
      </w:pPr>
    </w:p>
    <w:p w:rsidR="00910565" w:rsidRDefault="00910565" w:rsidP="00910565">
      <w:pPr>
        <w:pStyle w:val="Heading1"/>
      </w:pPr>
      <w:r>
        <w:t>“SECTION I – PERILS INSURED AGAINST</w:t>
      </w:r>
    </w:p>
    <w:p w:rsidR="00910565" w:rsidRDefault="00910565" w:rsidP="00910565">
      <w:pPr>
        <w:rPr>
          <w:rFonts w:ascii="Times New Roman" w:hAnsi="Times New Roman" w:cs="Times New Roman"/>
          <w:b/>
          <w:bCs/>
          <w:sz w:val="24"/>
        </w:rPr>
      </w:pPr>
    </w:p>
    <w:p w:rsidR="00910565" w:rsidRDefault="00910565" w:rsidP="00910565">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910565" w:rsidRDefault="00910565" w:rsidP="00910565">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910565" w:rsidRDefault="00910565" w:rsidP="00910565">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910565" w:rsidRDefault="00910565" w:rsidP="00910565">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910565" w:rsidRDefault="00910565" w:rsidP="00910565">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910565" w:rsidRDefault="00910565" w:rsidP="00910565">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910565" w:rsidRDefault="00910565" w:rsidP="000B0179">
      <w:pPr>
        <w:pStyle w:val="BodyTextIndent"/>
        <w:jc w:val="both"/>
        <w:rPr>
          <w:rFonts w:ascii="Times New Roman" w:hAnsi="Times New Roman"/>
          <w:sz w:val="24"/>
        </w:rPr>
      </w:pPr>
      <w:r>
        <w:rPr>
          <w:rFonts w:ascii="Times New Roman" w:hAnsi="Times New Roman"/>
          <w:b/>
          <w:bCs/>
          <w:sz w:val="24"/>
        </w:rPr>
        <w:lastRenderedPageBreak/>
        <w:t xml:space="preserve"> </w:t>
      </w:r>
      <w:r w:rsidR="000B0179">
        <w:rPr>
          <w:rFonts w:ascii="Times New Roman" w:hAnsi="Times New Roman"/>
          <w:b/>
          <w:bCs/>
          <w:sz w:val="24"/>
        </w:rPr>
        <w:tab/>
      </w:r>
      <w:r>
        <w:rPr>
          <w:rFonts w:ascii="Times New Roman" w:hAnsi="Times New Roman"/>
          <w:b/>
          <w:bCs/>
          <w:sz w:val="24"/>
        </w:rPr>
        <w:t>6</w:t>
      </w:r>
      <w:r w:rsidR="000B0179">
        <w:rPr>
          <w:rFonts w:ascii="Times New Roman" w:hAnsi="Times New Roman"/>
          <w:b/>
          <w:bCs/>
          <w:sz w:val="24"/>
        </w:rPr>
        <w:t>.</w:t>
      </w:r>
      <w:r>
        <w:rPr>
          <w:rFonts w:ascii="Times New Roman" w:hAnsi="Times New Roman"/>
          <w:sz w:val="24"/>
        </w:rPr>
        <w:tab/>
        <w:t>Any of the following:</w:t>
      </w:r>
    </w:p>
    <w:p w:rsidR="00910565" w:rsidRDefault="00910565" w:rsidP="00910565">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910565" w:rsidRDefault="00910565" w:rsidP="00910565">
      <w:pPr>
        <w:pStyle w:val="BodyTextIndent"/>
        <w:ind w:left="3600" w:hanging="720"/>
        <w:jc w:val="both"/>
        <w:rPr>
          <w:rFonts w:ascii="Times New Roman" w:hAnsi="Times New Roman"/>
          <w:sz w:val="24"/>
        </w:rPr>
      </w:pPr>
      <w:r>
        <w:rPr>
          <w:rFonts w:ascii="Times New Roman" w:hAnsi="Times New Roman"/>
          <w:b/>
          <w:bCs/>
          <w:sz w:val="24"/>
        </w:rPr>
        <w:t>(b)</w:t>
      </w:r>
      <w:r>
        <w:rPr>
          <w:rFonts w:ascii="Times New Roman" w:hAnsi="Times New Roman"/>
          <w:sz w:val="24"/>
        </w:rPr>
        <w:tab/>
        <w:t>Mechanical breakdown, latent defect, inherent vice, or any quality in property that causes it to damage or destroy itself;</w:t>
      </w:r>
    </w:p>
    <w:p w:rsidR="00910565" w:rsidRDefault="00910565" w:rsidP="00910565">
      <w:pPr>
        <w:numPr>
          <w:ilvl w:val="0"/>
          <w:numId w:val="3"/>
        </w:numPr>
        <w:jc w:val="both"/>
        <w:rPr>
          <w:rFonts w:ascii="Times New Roman" w:hAnsi="Times New Roman" w:cs="Times New Roman"/>
          <w:sz w:val="24"/>
        </w:rPr>
      </w:pPr>
      <w:r>
        <w:rPr>
          <w:rFonts w:ascii="Times New Roman" w:hAnsi="Times New Roman" w:cs="Times New Roman"/>
          <w:sz w:val="24"/>
        </w:rPr>
        <w:t>Smog, rust or other corrosion, or dry rot;”</w:t>
      </w:r>
    </w:p>
    <w:p w:rsidR="00910565" w:rsidRDefault="00910565" w:rsidP="000B0179">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910565" w:rsidRDefault="00910565" w:rsidP="000B0179">
      <w:pPr>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910565" w:rsidRDefault="00910565" w:rsidP="00910565">
      <w:pPr>
        <w:numPr>
          <w:ilvl w:val="0"/>
          <w:numId w:val="3"/>
        </w:num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910565" w:rsidRDefault="00910565" w:rsidP="00910565">
      <w:pPr>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910565" w:rsidRDefault="00910565" w:rsidP="000B0179">
      <w:pPr>
        <w:ind w:left="4320"/>
        <w:jc w:val="both"/>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910565" w:rsidRPr="008B3E5C" w:rsidRDefault="00910565" w:rsidP="000B0179">
      <w:pPr>
        <w:ind w:left="36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910565" w:rsidRDefault="00910565" w:rsidP="00910565">
      <w:pPr>
        <w:ind w:left="2880"/>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p>
    <w:p w:rsidR="00910565" w:rsidRDefault="00910565" w:rsidP="00910565">
      <w:pPr>
        <w:pStyle w:val="BodyText"/>
        <w:rPr>
          <w:b/>
          <w:bCs/>
          <w:i/>
          <w:iCs/>
        </w:rPr>
      </w:pPr>
      <w:r>
        <w:rPr>
          <w:b/>
          <w:bCs/>
          <w:i/>
          <w:iCs/>
        </w:rPr>
        <w:t>The completed form should be returned to me promptly in order for the Massachusetts Property Insurance Underwriting Association (MPIUA) to conclude the claim.</w:t>
      </w:r>
      <w:r>
        <w:t xml:space="preserve">  </w:t>
      </w:r>
      <w:r>
        <w:rPr>
          <w:b/>
          <w:bCs/>
          <w:i/>
          <w:iCs/>
        </w:rPr>
        <w:t>The payment for the Actual Cash Value amount will be processed immediately, prior to the receipt of the signed proof of loss.</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Very truly yours,</w:t>
      </w: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p>
    <w:p w:rsidR="00910565" w:rsidRDefault="00910565" w:rsidP="00910565">
      <w:pPr>
        <w:jc w:val="both"/>
        <w:rPr>
          <w:rFonts w:ascii="Times New Roman" w:hAnsi="Times New Roman" w:cs="Times New Roman"/>
          <w:sz w:val="24"/>
        </w:rPr>
      </w:pPr>
      <w:r>
        <w:rPr>
          <w:rFonts w:ascii="Times New Roman" w:hAnsi="Times New Roman" w:cs="Times New Roman"/>
          <w:sz w:val="24"/>
        </w:rPr>
        <w:t>Claims Adjuster</w:t>
      </w:r>
    </w:p>
    <w:p w:rsidR="00910565" w:rsidRDefault="00910565" w:rsidP="00910565">
      <w:pPr>
        <w:jc w:val="both"/>
        <w:rPr>
          <w:rFonts w:ascii="Times New Roman" w:hAnsi="Times New Roman" w:cs="Times New Roman"/>
          <w:sz w:val="24"/>
        </w:rPr>
      </w:pPr>
    </w:p>
    <w:p w:rsidR="00957FE6" w:rsidRDefault="00910565" w:rsidP="000B0179">
      <w:pPr>
        <w:jc w:val="both"/>
      </w:pPr>
      <w:r>
        <w:rPr>
          <w:rFonts w:ascii="Times New Roman" w:hAnsi="Times New Roman" w:cs="Times New Roman"/>
          <w:sz w:val="24"/>
        </w:rPr>
        <w:t>Enclosure</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4" w:rsidRDefault="005E2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4" w:rsidRDefault="005E2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4" w:rsidRDefault="005E2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4" w:rsidRDefault="005E2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5E28B4" w:rsidRDefault="004F40AC" w:rsidP="005E28B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B0179"/>
    <w:rsid w:val="000F7BE3"/>
    <w:rsid w:val="001173F8"/>
    <w:rsid w:val="00155844"/>
    <w:rsid w:val="001672B9"/>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37B7"/>
    <w:rsid w:val="00417F27"/>
    <w:rsid w:val="00433220"/>
    <w:rsid w:val="00450D50"/>
    <w:rsid w:val="0048729E"/>
    <w:rsid w:val="004B484D"/>
    <w:rsid w:val="004E5DE0"/>
    <w:rsid w:val="004F40AC"/>
    <w:rsid w:val="00505D2E"/>
    <w:rsid w:val="005A0005"/>
    <w:rsid w:val="005A77E6"/>
    <w:rsid w:val="005B14CC"/>
    <w:rsid w:val="005E28B4"/>
    <w:rsid w:val="00622D7B"/>
    <w:rsid w:val="00625D27"/>
    <w:rsid w:val="00640309"/>
    <w:rsid w:val="006744D1"/>
    <w:rsid w:val="00686E86"/>
    <w:rsid w:val="00726E11"/>
    <w:rsid w:val="008460F6"/>
    <w:rsid w:val="008A1379"/>
    <w:rsid w:val="008D41BB"/>
    <w:rsid w:val="00910565"/>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25513"/>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51118E4-67F7-4D49-A8C8-06CD4BC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2014-07-08T15:28:00Z</dcterms:created>
  <dcterms:modified xsi:type="dcterms:W3CDTF">2014-10-01T13:31:00Z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