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76F89" w:rsidRDefault="00176F89" w:rsidP="00176F89">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C0352">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7C0352">
        <w:rPr>
          <w:rFonts w:ascii="Times New Roman" w:hAnsi="Times New Roman" w:cs="Times New Roman"/>
          <w:sz w:val="24"/>
        </w:rPr>
        <w:fldChar w:fldCharType="separate"/>
      </w:r>
      <w:r w:rsidR="00307DB9">
        <w:rPr>
          <w:rFonts w:ascii="Times New Roman" w:hAnsi="Times New Roman" w:cs="Times New Roman"/>
          <w:noProof/>
          <w:sz w:val="24"/>
        </w:rPr>
        <w:t>October 1, 2014</w:t>
      </w:r>
      <w:r w:rsidR="007C0352">
        <w:rPr>
          <w:rFonts w:ascii="Times New Roman" w:hAnsi="Times New Roman" w:cs="Times New Roman"/>
          <w:sz w:val="24"/>
        </w:rPr>
        <w:fldChar w:fldCharType="end"/>
      </w:r>
    </w:p>
    <w:p w:rsidR="00176F89" w:rsidRDefault="00176F89" w:rsidP="00176F89">
      <w:pPr>
        <w:rPr>
          <w:rFonts w:ascii="Times New Roman" w:hAnsi="Times New Roman" w:cs="Times New Roman"/>
          <w:sz w:val="24"/>
        </w:rPr>
      </w:pPr>
    </w:p>
    <w:p w:rsidR="00176F89" w:rsidRDefault="00176F89" w:rsidP="00176F89">
      <w:pPr>
        <w:rPr>
          <w:rFonts w:ascii="Times New Roman" w:hAnsi="Times New Roman" w:cs="Times New Roman"/>
          <w:sz w:val="24"/>
        </w:rPr>
      </w:pPr>
    </w:p>
    <w:p w:rsidR="00176F89" w:rsidRDefault="00176F89" w:rsidP="00176F89">
      <w:pPr>
        <w:rPr>
          <w:rFonts w:ascii="Times New Roman" w:hAnsi="Times New Roman" w:cs="Times New Roman"/>
          <w:sz w:val="24"/>
        </w:rPr>
      </w:pPr>
    </w:p>
    <w:p w:rsidR="00176F89" w:rsidRDefault="00176F89" w:rsidP="00176F89">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176F89" w:rsidRDefault="00176F89" w:rsidP="00176F89">
      <w:pPr>
        <w:ind w:firstLine="720"/>
        <w:rPr>
          <w:rFonts w:ascii="Times New Roman" w:hAnsi="Times New Roman" w:cs="Times New Roman"/>
          <w:sz w:val="24"/>
        </w:rPr>
      </w:pPr>
      <w:r>
        <w:rPr>
          <w:rFonts w:ascii="Times New Roman" w:hAnsi="Times New Roman" w:cs="Times New Roman"/>
          <w:sz w:val="24"/>
        </w:rPr>
        <w:t>Claim No.:</w:t>
      </w:r>
      <w:r>
        <w:rPr>
          <w:rFonts w:ascii="Times New Roman" w:hAnsi="Times New Roman" w:cs="Times New Roman"/>
          <w:sz w:val="24"/>
        </w:rPr>
        <w:tab/>
      </w:r>
      <w:r>
        <w:rPr>
          <w:rFonts w:ascii="Times New Roman" w:hAnsi="Times New Roman" w:cs="Times New Roman"/>
          <w:sz w:val="24"/>
        </w:rPr>
        <w:tab/>
      </w:r>
    </w:p>
    <w:p w:rsidR="00176F89" w:rsidRDefault="00176F89" w:rsidP="00176F89">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176F89" w:rsidRDefault="00176F89" w:rsidP="00176F89">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176F89" w:rsidRDefault="00176F89" w:rsidP="00176F89">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t>Loss Assessment</w:t>
      </w:r>
    </w:p>
    <w:p w:rsidR="00176F89" w:rsidRDefault="00176F89" w:rsidP="00176F89">
      <w:pPr>
        <w:rPr>
          <w:rFonts w:ascii="Times New Roman" w:hAnsi="Times New Roman" w:cs="Times New Roman"/>
          <w:sz w:val="24"/>
        </w:rPr>
      </w:pPr>
    </w:p>
    <w:p w:rsidR="00176F89" w:rsidRDefault="00176F89" w:rsidP="00176F89">
      <w:pPr>
        <w:rPr>
          <w:rFonts w:ascii="Times New Roman" w:hAnsi="Times New Roman" w:cs="Times New Roman"/>
          <w:sz w:val="24"/>
        </w:rPr>
      </w:pPr>
      <w:r>
        <w:rPr>
          <w:rFonts w:ascii="Times New Roman" w:hAnsi="Times New Roman" w:cs="Times New Roman"/>
          <w:sz w:val="24"/>
        </w:rPr>
        <w:t>Dear Insured:</w:t>
      </w:r>
    </w:p>
    <w:p w:rsidR="00176F89" w:rsidRDefault="00176F89" w:rsidP="00176F89">
      <w:pPr>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 xml:space="preserve">We have had an opportunity to review the documentation forwarded to us with the letter.  The documents indicate to us that the assessment is being made to cover the expenses involved in correcting problems </w:t>
      </w:r>
      <w:r w:rsidR="000D3EE4">
        <w:rPr>
          <w:rFonts w:ascii="Times New Roman" w:hAnsi="Times New Roman" w:cs="Times New Roman"/>
          <w:sz w:val="24"/>
        </w:rPr>
        <w:t>__________________________</w:t>
      </w:r>
      <w:r>
        <w:rPr>
          <w:rFonts w:ascii="Times New Roman" w:hAnsi="Times New Roman" w:cs="Times New Roman"/>
          <w:sz w:val="24"/>
        </w:rPr>
        <w:t xml:space="preserve">.  The problems to be corrected are the result of </w:t>
      </w:r>
      <w:r w:rsidR="000D3EE4">
        <w:rPr>
          <w:rFonts w:ascii="Times New Roman" w:hAnsi="Times New Roman" w:cs="Times New Roman"/>
          <w:sz w:val="24"/>
        </w:rPr>
        <w:t>__________</w:t>
      </w:r>
      <w:r>
        <w:rPr>
          <w:rFonts w:ascii="Times New Roman" w:hAnsi="Times New Roman" w:cs="Times New Roman"/>
          <w:sz w:val="24"/>
        </w:rPr>
        <w:t>.</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A review of the HO-6 and HO-1732 policy forms has found reference to loss assessments.  We would refer you to page 6 of 19 of the HO-6 policy form entitled Additional Coverages.</w:t>
      </w:r>
    </w:p>
    <w:p w:rsidR="00176F89" w:rsidRDefault="00176F89" w:rsidP="00176F89">
      <w:pPr>
        <w:jc w:val="both"/>
        <w:rPr>
          <w:rFonts w:ascii="Times New Roman" w:hAnsi="Times New Roman" w:cs="Times New Roman"/>
          <w:sz w:val="24"/>
        </w:rPr>
      </w:pPr>
    </w:p>
    <w:p w:rsidR="00176F89" w:rsidRDefault="00176F89" w:rsidP="00176F89">
      <w:pPr>
        <w:numPr>
          <w:ilvl w:val="0"/>
          <w:numId w:val="4"/>
        </w:numPr>
        <w:jc w:val="both"/>
        <w:rPr>
          <w:rFonts w:ascii="Times New Roman" w:hAnsi="Times New Roman" w:cs="Times New Roman"/>
          <w:sz w:val="24"/>
        </w:rPr>
      </w:pPr>
      <w:r>
        <w:rPr>
          <w:rFonts w:ascii="Times New Roman" w:hAnsi="Times New Roman" w:cs="Times New Roman"/>
          <w:b/>
          <w:sz w:val="24"/>
        </w:rPr>
        <w:t>Loss Assessment</w:t>
      </w:r>
      <w:r>
        <w:rPr>
          <w:rFonts w:ascii="Times New Roman" w:hAnsi="Times New Roman" w:cs="Times New Roman"/>
          <w:sz w:val="24"/>
        </w:rPr>
        <w:t xml:space="preserve">.  </w:t>
      </w:r>
    </w:p>
    <w:p w:rsidR="00176F89" w:rsidRDefault="00176F89" w:rsidP="00176F89">
      <w:pPr>
        <w:numPr>
          <w:ilvl w:val="0"/>
          <w:numId w:val="5"/>
        </w:numPr>
        <w:jc w:val="both"/>
        <w:rPr>
          <w:rFonts w:ascii="Times New Roman" w:hAnsi="Times New Roman" w:cs="Times New Roman"/>
          <w:sz w:val="24"/>
        </w:rPr>
      </w:pPr>
      <w:r>
        <w:rPr>
          <w:rFonts w:ascii="Times New Roman" w:hAnsi="Times New Roman" w:cs="Times New Roman"/>
          <w:sz w:val="24"/>
        </w:rPr>
        <w:t xml:space="preserve">We will pay up $1000 for your share of loss assessment charged during the policy period against you, as owner or tenant of the “residence premises”, by a corporation or association of property owners.  The assessment must be made as a result of direct loss to property, owned by all members collectively, of the type that would be covered by this policy if owned by you, caused by a Peril Insured Against under Coverage </w:t>
      </w:r>
      <w:r>
        <w:rPr>
          <w:rFonts w:ascii="Times New Roman" w:hAnsi="Times New Roman" w:cs="Times New Roman"/>
          <w:b/>
          <w:bCs/>
          <w:sz w:val="24"/>
        </w:rPr>
        <w:t>A</w:t>
      </w:r>
      <w:r>
        <w:rPr>
          <w:rFonts w:ascii="Times New Roman" w:hAnsi="Times New Roman" w:cs="Times New Roman"/>
          <w:sz w:val="24"/>
        </w:rPr>
        <w:t>, other than:</w:t>
      </w:r>
    </w:p>
    <w:p w:rsidR="00176F89" w:rsidRDefault="00176F89" w:rsidP="00176F89">
      <w:pPr>
        <w:ind w:left="450" w:hanging="450"/>
        <w:jc w:val="both"/>
        <w:rPr>
          <w:rFonts w:ascii="Times New Roman" w:hAnsi="Times New Roman" w:cs="Times New Roman"/>
          <w:sz w:val="24"/>
        </w:rPr>
      </w:pPr>
    </w:p>
    <w:p w:rsidR="00176F89" w:rsidRDefault="00176F89" w:rsidP="00176F89">
      <w:pPr>
        <w:ind w:left="720"/>
        <w:jc w:val="both"/>
        <w:rPr>
          <w:rFonts w:ascii="Times New Roman" w:hAnsi="Times New Roman" w:cs="Times New Roman"/>
          <w:sz w:val="24"/>
        </w:rPr>
      </w:pPr>
      <w:r>
        <w:rPr>
          <w:rFonts w:ascii="Times New Roman" w:hAnsi="Times New Roman" w:cs="Times New Roman"/>
          <w:b/>
          <w:bCs/>
          <w:sz w:val="24"/>
        </w:rPr>
        <w:t xml:space="preserve">(1) </w:t>
      </w:r>
      <w:r>
        <w:rPr>
          <w:rFonts w:ascii="Times New Roman" w:hAnsi="Times New Roman" w:cs="Times New Roman"/>
          <w:sz w:val="24"/>
        </w:rPr>
        <w:t>Earthquake; or</w:t>
      </w:r>
    </w:p>
    <w:p w:rsidR="00176F89" w:rsidRDefault="00176F89" w:rsidP="00176F89">
      <w:pPr>
        <w:ind w:left="720"/>
        <w:jc w:val="both"/>
        <w:rPr>
          <w:rFonts w:ascii="Times New Roman" w:hAnsi="Times New Roman" w:cs="Times New Roman"/>
          <w:sz w:val="24"/>
        </w:rPr>
      </w:pPr>
      <w:r>
        <w:rPr>
          <w:rFonts w:ascii="Times New Roman" w:hAnsi="Times New Roman" w:cs="Times New Roman"/>
          <w:b/>
          <w:bCs/>
          <w:sz w:val="24"/>
        </w:rPr>
        <w:t xml:space="preserve">(2) </w:t>
      </w:r>
      <w:r>
        <w:rPr>
          <w:rFonts w:ascii="Times New Roman" w:hAnsi="Times New Roman" w:cs="Times New Roman"/>
          <w:sz w:val="24"/>
        </w:rPr>
        <w:t>Land shock waves or tremors before, during or after a volcanic eruption.</w:t>
      </w:r>
    </w:p>
    <w:p w:rsidR="00176F89" w:rsidRDefault="00176F89" w:rsidP="00176F89">
      <w:pPr>
        <w:ind w:left="720"/>
        <w:jc w:val="both"/>
        <w:rPr>
          <w:rFonts w:ascii="Times New Roman" w:hAnsi="Times New Roman" w:cs="Times New Roman"/>
          <w:sz w:val="24"/>
        </w:rPr>
      </w:pPr>
    </w:p>
    <w:p w:rsidR="00176F89" w:rsidRDefault="00176F89" w:rsidP="00176F89">
      <w:pPr>
        <w:ind w:left="720"/>
        <w:jc w:val="both"/>
        <w:rPr>
          <w:rFonts w:ascii="Times New Roman" w:hAnsi="Times New Roman" w:cs="Times New Roman"/>
          <w:sz w:val="24"/>
        </w:rPr>
        <w:sectPr w:rsidR="00176F89" w:rsidSect="00176F89">
          <w:type w:val="continuous"/>
          <w:pgSz w:w="12240" w:h="15840"/>
          <w:pgMar w:top="1440" w:right="1152" w:bottom="1152" w:left="1152" w:header="720" w:footer="720" w:gutter="0"/>
          <w:cols w:space="720"/>
          <w:noEndnote/>
        </w:sectPr>
      </w:pPr>
      <w:r>
        <w:rPr>
          <w:rFonts w:ascii="Times New Roman" w:hAnsi="Times New Roman" w:cs="Times New Roman"/>
          <w:sz w:val="24"/>
        </w:rPr>
        <w:t>The limit of $1000 is the most we will pay with respect to any one loss, regardless of the number of assessments.  We will apply only one deductible, per unit, to the total amount of any one loss to the property described above, regardless of the number of assessments.</w:t>
      </w:r>
    </w:p>
    <w:p w:rsidR="00176F89" w:rsidRDefault="00805CBB" w:rsidP="00176F89">
      <w:pPr>
        <w:numPr>
          <w:ilvl w:val="0"/>
          <w:numId w:val="5"/>
        </w:numPr>
        <w:jc w:val="both"/>
        <w:rPr>
          <w:rFonts w:ascii="Times New Roman" w:hAnsi="Times New Roman" w:cs="Times New Roman"/>
          <w:sz w:val="24"/>
        </w:rPr>
      </w:pPr>
      <w:r>
        <w:rPr>
          <w:rFonts w:ascii="Times New Roman" w:hAnsi="Times New Roman" w:cs="Times New Roman"/>
          <w:sz w:val="24"/>
        </w:rPr>
        <w:lastRenderedPageBreak/>
        <w:t xml:space="preserve">  </w:t>
      </w:r>
      <w:r w:rsidR="00176F89">
        <w:rPr>
          <w:rFonts w:ascii="Times New Roman" w:hAnsi="Times New Roman" w:cs="Times New Roman"/>
          <w:sz w:val="24"/>
        </w:rPr>
        <w:t>We do not cover assessments charged against you or a corporation or association of property</w:t>
      </w:r>
      <w:r>
        <w:rPr>
          <w:rFonts w:ascii="Times New Roman" w:hAnsi="Times New Roman" w:cs="Times New Roman"/>
          <w:sz w:val="24"/>
        </w:rPr>
        <w:t xml:space="preserve"> </w:t>
      </w:r>
      <w:r w:rsidR="00176F89">
        <w:rPr>
          <w:rFonts w:ascii="Times New Roman" w:hAnsi="Times New Roman" w:cs="Times New Roman"/>
          <w:sz w:val="24"/>
        </w:rPr>
        <w:t>owners by any governmental body.</w:t>
      </w:r>
    </w:p>
    <w:p w:rsidR="00176F89" w:rsidRDefault="00805CBB" w:rsidP="00176F89">
      <w:pPr>
        <w:numPr>
          <w:ilvl w:val="0"/>
          <w:numId w:val="5"/>
        </w:numPr>
        <w:jc w:val="both"/>
        <w:rPr>
          <w:rFonts w:ascii="Times New Roman" w:hAnsi="Times New Roman" w:cs="Times New Roman"/>
          <w:sz w:val="24"/>
        </w:rPr>
      </w:pPr>
      <w:r>
        <w:rPr>
          <w:rFonts w:ascii="Times New Roman" w:hAnsi="Times New Roman" w:cs="Times New Roman"/>
          <w:sz w:val="24"/>
        </w:rPr>
        <w:t xml:space="preserve"> </w:t>
      </w:r>
      <w:r w:rsidR="00176F89">
        <w:rPr>
          <w:rFonts w:ascii="Times New Roman" w:hAnsi="Times New Roman" w:cs="Times New Roman"/>
          <w:sz w:val="24"/>
        </w:rPr>
        <w:t xml:space="preserve">Paragraph </w:t>
      </w:r>
      <w:r w:rsidR="00176F89">
        <w:rPr>
          <w:rFonts w:ascii="Times New Roman" w:hAnsi="Times New Roman" w:cs="Times New Roman"/>
          <w:b/>
          <w:bCs/>
          <w:sz w:val="24"/>
        </w:rPr>
        <w:t>P</w:t>
      </w:r>
      <w:r w:rsidR="00176F89">
        <w:rPr>
          <w:rFonts w:ascii="Times New Roman" w:hAnsi="Times New Roman" w:cs="Times New Roman"/>
          <w:sz w:val="24"/>
        </w:rPr>
        <w:t xml:space="preserve">, Policy Period under Section </w:t>
      </w:r>
      <w:r w:rsidR="00176F89">
        <w:rPr>
          <w:rFonts w:ascii="Times New Roman" w:hAnsi="Times New Roman" w:cs="Times New Roman"/>
          <w:b/>
          <w:bCs/>
          <w:sz w:val="24"/>
        </w:rPr>
        <w:t>1</w:t>
      </w:r>
      <w:r w:rsidR="00176F89">
        <w:rPr>
          <w:rFonts w:ascii="Times New Roman" w:hAnsi="Times New Roman" w:cs="Times New Roman"/>
          <w:sz w:val="24"/>
        </w:rPr>
        <w:t xml:space="preserve"> – Conditions does not apply to this coverage.</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This coverage is additional insurance.</w:t>
      </w:r>
    </w:p>
    <w:p w:rsidR="00176F89" w:rsidRDefault="00176F89" w:rsidP="00176F89">
      <w:pPr>
        <w:ind w:left="720"/>
        <w:jc w:val="both"/>
        <w:rPr>
          <w:rFonts w:ascii="Times New Roman" w:hAnsi="Times New Roman" w:cs="Times New Roman"/>
          <w:sz w:val="24"/>
        </w:rPr>
      </w:pPr>
    </w:p>
    <w:p w:rsidR="00176F89" w:rsidRDefault="00176F89" w:rsidP="00176F89">
      <w:pPr>
        <w:pStyle w:val="BodyText"/>
      </w:pPr>
      <w:r>
        <w:t>The HO-1732 endorsement changes the coverage relative to the causes of loss; however, it also makes specific reference to causes of loss that may be excluded.  We would refer you to page 1 of 2 of the HO-1732 policy form.</w:t>
      </w:r>
    </w:p>
    <w:p w:rsidR="00176F89" w:rsidRDefault="00176F89" w:rsidP="00176F89">
      <w:pPr>
        <w:jc w:val="both"/>
        <w:rPr>
          <w:rFonts w:ascii="Times New Roman" w:hAnsi="Times New Roman" w:cs="Times New Roman"/>
          <w:sz w:val="24"/>
        </w:rPr>
      </w:pPr>
    </w:p>
    <w:p w:rsidR="00176F89" w:rsidRPr="00805CBB" w:rsidRDefault="00176F89" w:rsidP="00805CBB">
      <w:pPr>
        <w:pStyle w:val="Heading1"/>
        <w:jc w:val="both"/>
        <w:rPr>
          <w:rFonts w:ascii="Times New Roman" w:hAnsi="Times New Roman" w:cs="Times New Roman"/>
        </w:rPr>
      </w:pPr>
      <w:r w:rsidRPr="00805CBB">
        <w:rPr>
          <w:rFonts w:ascii="Times New Roman" w:hAnsi="Times New Roman" w:cs="Times New Roman"/>
        </w:rPr>
        <w:t>Perils Insured Against</w:t>
      </w:r>
    </w:p>
    <w:p w:rsidR="00176F89" w:rsidRDefault="00176F89" w:rsidP="00176F89">
      <w:pPr>
        <w:jc w:val="both"/>
        <w:rPr>
          <w:rFonts w:ascii="Times New Roman" w:hAnsi="Times New Roman" w:cs="Times New Roman"/>
          <w:sz w:val="24"/>
        </w:rPr>
      </w:pPr>
    </w:p>
    <w:p w:rsidR="00176F89" w:rsidRDefault="00176F89" w:rsidP="00176F89">
      <w:pPr>
        <w:ind w:left="360" w:hanging="360"/>
        <w:jc w:val="both"/>
        <w:rPr>
          <w:rFonts w:ascii="Times New Roman" w:hAnsi="Times New Roman" w:cs="Times New Roman"/>
          <w:sz w:val="24"/>
        </w:rPr>
      </w:pPr>
      <w:r>
        <w:rPr>
          <w:rFonts w:ascii="Times New Roman" w:hAnsi="Times New Roman" w:cs="Times New Roman"/>
          <w:b/>
          <w:bCs/>
          <w:sz w:val="24"/>
        </w:rPr>
        <w:t xml:space="preserve">1.  </w:t>
      </w:r>
      <w:r>
        <w:rPr>
          <w:rFonts w:ascii="Times New Roman" w:hAnsi="Times New Roman" w:cs="Times New Roman"/>
          <w:sz w:val="24"/>
        </w:rPr>
        <w:t xml:space="preserve">We insured against risk of direct loss to property described in Coverage </w:t>
      </w:r>
      <w:r>
        <w:rPr>
          <w:rFonts w:ascii="Times New Roman" w:hAnsi="Times New Roman" w:cs="Times New Roman"/>
          <w:b/>
          <w:bCs/>
          <w:sz w:val="24"/>
        </w:rPr>
        <w:t>A</w:t>
      </w:r>
      <w:r>
        <w:rPr>
          <w:rFonts w:ascii="Times New Roman" w:hAnsi="Times New Roman" w:cs="Times New Roman"/>
          <w:sz w:val="24"/>
        </w:rPr>
        <w:t>., only if that loss is a physical loss to property.</w:t>
      </w:r>
    </w:p>
    <w:p w:rsidR="00176F89" w:rsidRDefault="00176F89" w:rsidP="00176F89">
      <w:pPr>
        <w:jc w:val="both"/>
        <w:rPr>
          <w:rFonts w:ascii="Times New Roman" w:hAnsi="Times New Roman" w:cs="Times New Roman"/>
          <w:sz w:val="24"/>
        </w:rPr>
      </w:pPr>
    </w:p>
    <w:p w:rsidR="00176F89" w:rsidRDefault="00176F89" w:rsidP="00176F89">
      <w:pPr>
        <w:pStyle w:val="BodyText"/>
        <w:ind w:left="360" w:hanging="360"/>
      </w:pPr>
      <w:r>
        <w:rPr>
          <w:b/>
          <w:bCs/>
        </w:rPr>
        <w:t>2.</w:t>
      </w:r>
      <w:r>
        <w:t xml:space="preserve">  We do not insure, however, for loss:</w:t>
      </w:r>
    </w:p>
    <w:p w:rsidR="00176F89" w:rsidRDefault="00176F89" w:rsidP="00176F89">
      <w:pPr>
        <w:ind w:left="720" w:hanging="360"/>
        <w:jc w:val="both"/>
        <w:rPr>
          <w:rFonts w:ascii="Times New Roman" w:hAnsi="Times New Roman" w:cs="Times New Roman"/>
          <w:sz w:val="24"/>
        </w:rPr>
      </w:pPr>
      <w:r>
        <w:rPr>
          <w:rFonts w:ascii="Times New Roman" w:hAnsi="Times New Roman" w:cs="Times New Roman"/>
          <w:b/>
          <w:bCs/>
          <w:sz w:val="24"/>
        </w:rPr>
        <w:t xml:space="preserve"> </w:t>
      </w:r>
    </w:p>
    <w:p w:rsidR="00176F89" w:rsidRDefault="00176F89" w:rsidP="00176F89">
      <w:pPr>
        <w:numPr>
          <w:ilvl w:val="0"/>
          <w:numId w:val="6"/>
        </w:numPr>
        <w:tabs>
          <w:tab w:val="clear" w:pos="1080"/>
          <w:tab w:val="num" w:pos="720"/>
        </w:tabs>
        <w:ind w:hanging="720"/>
        <w:jc w:val="both"/>
        <w:rPr>
          <w:rFonts w:ascii="Times New Roman" w:hAnsi="Times New Roman" w:cs="Times New Roman"/>
          <w:sz w:val="24"/>
        </w:rPr>
      </w:pPr>
      <w:r>
        <w:rPr>
          <w:rFonts w:ascii="Times New Roman" w:hAnsi="Times New Roman" w:cs="Times New Roman"/>
          <w:sz w:val="24"/>
        </w:rPr>
        <w:lastRenderedPageBreak/>
        <w:t xml:space="preserve">Excluded under Section </w:t>
      </w:r>
      <w:r>
        <w:rPr>
          <w:rFonts w:ascii="Times New Roman" w:hAnsi="Times New Roman" w:cs="Times New Roman"/>
          <w:b/>
          <w:bCs/>
          <w:sz w:val="24"/>
        </w:rPr>
        <w:t>1</w:t>
      </w:r>
      <w:r>
        <w:rPr>
          <w:rFonts w:ascii="Times New Roman" w:hAnsi="Times New Roman" w:cs="Times New Roman"/>
          <w:sz w:val="24"/>
        </w:rPr>
        <w:t xml:space="preserve"> – Exclusions;</w:t>
      </w:r>
    </w:p>
    <w:p w:rsidR="00176F89" w:rsidRDefault="00176F89" w:rsidP="00176F89">
      <w:pPr>
        <w:numPr>
          <w:ilvl w:val="0"/>
          <w:numId w:val="6"/>
        </w:numPr>
        <w:tabs>
          <w:tab w:val="clear" w:pos="1080"/>
          <w:tab w:val="num" w:pos="720"/>
        </w:tabs>
        <w:ind w:hanging="720"/>
        <w:jc w:val="both"/>
        <w:rPr>
          <w:rFonts w:ascii="Times New Roman" w:hAnsi="Times New Roman" w:cs="Times New Roman"/>
          <w:sz w:val="24"/>
        </w:rPr>
      </w:pPr>
      <w:r>
        <w:rPr>
          <w:rFonts w:ascii="Times New Roman" w:hAnsi="Times New Roman" w:cs="Times New Roman"/>
          <w:sz w:val="24"/>
        </w:rPr>
        <w:t xml:space="preserve">Involving collapse, except as provided in </w:t>
      </w:r>
      <w:r>
        <w:rPr>
          <w:rFonts w:ascii="Times New Roman" w:hAnsi="Times New Roman" w:cs="Times New Roman"/>
          <w:b/>
          <w:bCs/>
          <w:sz w:val="24"/>
        </w:rPr>
        <w:t xml:space="preserve">D.8.  </w:t>
      </w:r>
      <w:r>
        <w:rPr>
          <w:rFonts w:ascii="Times New Roman" w:hAnsi="Times New Roman" w:cs="Times New Roman"/>
          <w:sz w:val="24"/>
        </w:rPr>
        <w:t>Collapse under Section 1 – Property Coverages</w:t>
      </w:r>
      <w:r>
        <w:rPr>
          <w:rFonts w:ascii="Times New Roman" w:hAnsi="Times New Roman" w:cs="Times New Roman"/>
          <w:b/>
          <w:bCs/>
          <w:sz w:val="24"/>
        </w:rPr>
        <w:t>.</w:t>
      </w:r>
    </w:p>
    <w:p w:rsidR="00176F89" w:rsidRDefault="00176F89" w:rsidP="00176F89">
      <w:pPr>
        <w:numPr>
          <w:ilvl w:val="0"/>
          <w:numId w:val="6"/>
        </w:numPr>
        <w:tabs>
          <w:tab w:val="clear" w:pos="1080"/>
          <w:tab w:val="num" w:pos="720"/>
        </w:tabs>
        <w:ind w:hanging="720"/>
        <w:jc w:val="both"/>
        <w:rPr>
          <w:rFonts w:ascii="Times New Roman" w:hAnsi="Times New Roman" w:cs="Times New Roman"/>
          <w:sz w:val="24"/>
        </w:rPr>
      </w:pPr>
      <w:r>
        <w:rPr>
          <w:rFonts w:ascii="Times New Roman" w:hAnsi="Times New Roman" w:cs="Times New Roman"/>
          <w:sz w:val="24"/>
        </w:rPr>
        <w:t>Caused by:</w:t>
      </w:r>
    </w:p>
    <w:p w:rsidR="00176F89" w:rsidRDefault="00176F89" w:rsidP="00176F89">
      <w:pPr>
        <w:ind w:left="360"/>
        <w:jc w:val="both"/>
        <w:rPr>
          <w:rFonts w:ascii="Times New Roman" w:hAnsi="Times New Roman" w:cs="Times New Roman"/>
          <w:sz w:val="24"/>
        </w:rPr>
      </w:pPr>
    </w:p>
    <w:p w:rsidR="00176F89" w:rsidRDefault="00176F89" w:rsidP="00176F89">
      <w:pPr>
        <w:ind w:left="1080" w:hanging="36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Freezing of a plumbing, heating, air conditioning or automatic fire protective sprinkler system or of a household appliance, or by the system or appliance caused by freezing.  This provision does not apply if you have used reasonable care to:</w:t>
      </w:r>
    </w:p>
    <w:p w:rsidR="00176F89" w:rsidRDefault="00176F89" w:rsidP="00176F89">
      <w:pPr>
        <w:jc w:val="both"/>
        <w:rPr>
          <w:rFonts w:ascii="Times New Roman" w:hAnsi="Times New Roman" w:cs="Times New Roman"/>
          <w:sz w:val="24"/>
        </w:rPr>
      </w:pPr>
    </w:p>
    <w:p w:rsidR="00176F89" w:rsidRDefault="00176F89" w:rsidP="00176F89">
      <w:pPr>
        <w:numPr>
          <w:ilvl w:val="1"/>
          <w:numId w:val="6"/>
        </w:numPr>
        <w:jc w:val="both"/>
        <w:rPr>
          <w:rFonts w:ascii="Times New Roman" w:hAnsi="Times New Roman" w:cs="Times New Roman"/>
          <w:sz w:val="24"/>
        </w:rPr>
      </w:pPr>
      <w:r>
        <w:rPr>
          <w:rFonts w:ascii="Times New Roman" w:hAnsi="Times New Roman" w:cs="Times New Roman"/>
          <w:sz w:val="24"/>
        </w:rPr>
        <w:t>Maintain heat in the building; or</w:t>
      </w:r>
    </w:p>
    <w:p w:rsidR="00176F89" w:rsidRDefault="00176F89" w:rsidP="00176F89">
      <w:pPr>
        <w:numPr>
          <w:ilvl w:val="1"/>
          <w:numId w:val="6"/>
        </w:numPr>
        <w:jc w:val="both"/>
        <w:rPr>
          <w:rFonts w:ascii="Times New Roman" w:hAnsi="Times New Roman" w:cs="Times New Roman"/>
          <w:sz w:val="24"/>
        </w:rPr>
      </w:pPr>
      <w:r>
        <w:rPr>
          <w:rFonts w:ascii="Times New Roman" w:hAnsi="Times New Roman" w:cs="Times New Roman"/>
          <w:sz w:val="24"/>
        </w:rPr>
        <w:t>Shut off the water supply and drain all systems and appliances of water.</w:t>
      </w:r>
    </w:p>
    <w:p w:rsidR="00176F89" w:rsidRDefault="00176F89" w:rsidP="00176F89">
      <w:pPr>
        <w:ind w:left="720"/>
        <w:jc w:val="both"/>
        <w:rPr>
          <w:rFonts w:ascii="Times New Roman" w:hAnsi="Times New Roman" w:cs="Times New Roman"/>
          <w:sz w:val="24"/>
        </w:rPr>
      </w:pPr>
      <w:r>
        <w:rPr>
          <w:rFonts w:ascii="Times New Roman" w:hAnsi="Times New Roman" w:cs="Times New Roman"/>
          <w:sz w:val="24"/>
        </w:rPr>
        <w:t xml:space="preserve">      </w:t>
      </w:r>
    </w:p>
    <w:p w:rsidR="00176F89" w:rsidRDefault="00176F89" w:rsidP="00176F89">
      <w:pPr>
        <w:ind w:left="720"/>
        <w:jc w:val="both"/>
        <w:rPr>
          <w:rFonts w:ascii="Times New Roman" w:hAnsi="Times New Roman" w:cs="Times New Roman"/>
          <w:sz w:val="24"/>
        </w:rPr>
      </w:pPr>
      <w:r>
        <w:rPr>
          <w:rFonts w:ascii="Times New Roman" w:hAnsi="Times New Roman" w:cs="Times New Roman"/>
          <w:sz w:val="24"/>
        </w:rPr>
        <w:t>However, if the building is protected by an automatic fire protective sprinkler system, you must use reasonable care to continue the water supply and maintain heat in the building for coverage to apply.</w:t>
      </w:r>
    </w:p>
    <w:p w:rsidR="00176F89" w:rsidRDefault="00176F89" w:rsidP="00176F89">
      <w:pPr>
        <w:ind w:left="720"/>
        <w:jc w:val="both"/>
        <w:rPr>
          <w:rFonts w:ascii="Times New Roman" w:hAnsi="Times New Roman" w:cs="Times New Roman"/>
          <w:sz w:val="24"/>
        </w:rPr>
      </w:pPr>
    </w:p>
    <w:p w:rsidR="00176F89" w:rsidRDefault="00176F89" w:rsidP="00176F89">
      <w:pPr>
        <w:ind w:left="720"/>
        <w:jc w:val="both"/>
        <w:rPr>
          <w:rFonts w:ascii="Times New Roman" w:hAnsi="Times New Roman" w:cs="Times New Roman"/>
          <w:sz w:val="24"/>
        </w:rPr>
      </w:pPr>
      <w:r>
        <w:rPr>
          <w:rFonts w:ascii="Times New Roman" w:hAnsi="Times New Roman" w:cs="Times New Roman"/>
          <w:sz w:val="24"/>
        </w:rPr>
        <w:t>For purposes of this provision a plumbing system or household appliance does not include a sump, sump pump or related equipment or a roof drain, gutter, downspout or similar fixtures or equipment;</w:t>
      </w:r>
    </w:p>
    <w:p w:rsidR="00176F89" w:rsidRDefault="00176F89" w:rsidP="00176F89">
      <w:pPr>
        <w:jc w:val="both"/>
        <w:rPr>
          <w:rFonts w:ascii="Times New Roman" w:hAnsi="Times New Roman" w:cs="Times New Roman"/>
          <w:sz w:val="24"/>
        </w:rPr>
      </w:pPr>
    </w:p>
    <w:p w:rsidR="00176F89" w:rsidRDefault="00176F89" w:rsidP="00176F89">
      <w:pPr>
        <w:numPr>
          <w:ilvl w:val="0"/>
          <w:numId w:val="7"/>
        </w:numPr>
        <w:jc w:val="both"/>
        <w:rPr>
          <w:rFonts w:ascii="Times New Roman" w:hAnsi="Times New Roman" w:cs="Times New Roman"/>
          <w:sz w:val="24"/>
        </w:rPr>
      </w:pPr>
      <w:r>
        <w:rPr>
          <w:rFonts w:ascii="Times New Roman" w:hAnsi="Times New Roman" w:cs="Times New Roman"/>
          <w:sz w:val="24"/>
        </w:rPr>
        <w:t>Freezing, thawing, pressure or weight of water or ice, whether driven by wind or not, to a:</w:t>
      </w:r>
    </w:p>
    <w:p w:rsidR="00176F89" w:rsidRDefault="00176F89" w:rsidP="00176F89">
      <w:pPr>
        <w:ind w:left="1080"/>
        <w:jc w:val="both"/>
        <w:rPr>
          <w:rFonts w:ascii="Times New Roman" w:hAnsi="Times New Roman" w:cs="Times New Roman"/>
          <w:sz w:val="24"/>
        </w:rPr>
      </w:pP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Fence, pavement, patio or swimming pool;</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Footing, foundation, bulkhead, wall, or any other structure or device, that supports all or part of a building or other structure;</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Retaining wall or bulkhead that does not support all or part of a building or other structure; or</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Pier, wharf or dock;</w:t>
      </w:r>
    </w:p>
    <w:p w:rsidR="00176F89" w:rsidRDefault="00176F89" w:rsidP="00176F89">
      <w:pPr>
        <w:jc w:val="both"/>
        <w:rPr>
          <w:rFonts w:ascii="Times New Roman" w:hAnsi="Times New Roman" w:cs="Times New Roman"/>
          <w:sz w:val="24"/>
        </w:rPr>
      </w:pPr>
    </w:p>
    <w:p w:rsidR="00176F89" w:rsidRDefault="00176F89" w:rsidP="00176F89">
      <w:pPr>
        <w:numPr>
          <w:ilvl w:val="0"/>
          <w:numId w:val="7"/>
        </w:numPr>
        <w:jc w:val="both"/>
        <w:rPr>
          <w:rFonts w:ascii="Times New Roman" w:hAnsi="Times New Roman" w:cs="Times New Roman"/>
          <w:sz w:val="24"/>
        </w:rPr>
      </w:pPr>
      <w:r>
        <w:rPr>
          <w:rFonts w:ascii="Times New Roman" w:hAnsi="Times New Roman" w:cs="Times New Roman"/>
          <w:sz w:val="24"/>
        </w:rPr>
        <w:t>Theft in or to a unit under construction, or of materials and supplies for use in the construction until the unit is finished and occupied;</w:t>
      </w:r>
    </w:p>
    <w:p w:rsidR="00176F89" w:rsidRDefault="00176F89" w:rsidP="00176F89">
      <w:pPr>
        <w:ind w:left="360"/>
        <w:jc w:val="both"/>
        <w:rPr>
          <w:rFonts w:ascii="Times New Roman" w:hAnsi="Times New Roman" w:cs="Times New Roman"/>
          <w:sz w:val="24"/>
        </w:rPr>
      </w:pPr>
    </w:p>
    <w:p w:rsidR="00176F89" w:rsidRDefault="00176F89" w:rsidP="00176F89">
      <w:pPr>
        <w:numPr>
          <w:ilvl w:val="0"/>
          <w:numId w:val="7"/>
        </w:numPr>
        <w:jc w:val="both"/>
        <w:rPr>
          <w:rFonts w:ascii="Times New Roman" w:hAnsi="Times New Roman" w:cs="Times New Roman"/>
          <w:sz w:val="24"/>
        </w:rPr>
      </w:pPr>
      <w:r>
        <w:rPr>
          <w:rFonts w:ascii="Times New Roman" w:hAnsi="Times New Roman" w:cs="Times New Roman"/>
          <w:sz w:val="24"/>
        </w:rPr>
        <w:t>Vandalism and malicious mischief, and any ensuing loss caused by any intentional and wrongful act committed in the course of the vandalism or malicious mischief, if the building containing the “resident premises” has been vacant for more than 60 consecutive days immediately before the loss.  A building being constructed is not considered vacant;</w:t>
      </w:r>
    </w:p>
    <w:p w:rsidR="00176F89" w:rsidRDefault="00176F89" w:rsidP="00176F89">
      <w:pPr>
        <w:jc w:val="both"/>
        <w:rPr>
          <w:rFonts w:ascii="Times New Roman" w:hAnsi="Times New Roman" w:cs="Times New Roman"/>
          <w:sz w:val="24"/>
        </w:rPr>
      </w:pPr>
    </w:p>
    <w:p w:rsidR="00176F89" w:rsidRDefault="00176F89" w:rsidP="00176F89">
      <w:pPr>
        <w:numPr>
          <w:ilvl w:val="0"/>
          <w:numId w:val="7"/>
        </w:numPr>
        <w:jc w:val="both"/>
        <w:rPr>
          <w:rFonts w:ascii="Times New Roman" w:hAnsi="Times New Roman" w:cs="Times New Roman"/>
          <w:sz w:val="24"/>
        </w:rPr>
      </w:pPr>
      <w:r>
        <w:rPr>
          <w:rFonts w:ascii="Times New Roman" w:hAnsi="Times New Roman" w:cs="Times New Roman"/>
          <w:sz w:val="24"/>
        </w:rPr>
        <w:t>Mold, fungus or wet rot.  However, we do not insure for loss caused by mold, fungus or wet rot that is hidden within the walls or ceilings or beneath the floors or above the ceilings of a structure if such loss results from the accidental discharge or overflow of water or steam from within:</w:t>
      </w:r>
    </w:p>
    <w:p w:rsidR="00176F89" w:rsidRDefault="00176F89" w:rsidP="00176F89">
      <w:pPr>
        <w:jc w:val="both"/>
        <w:rPr>
          <w:rFonts w:ascii="Times New Roman" w:hAnsi="Times New Roman" w:cs="Times New Roman"/>
          <w:sz w:val="24"/>
        </w:rPr>
      </w:pP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A plumbing heating, air conditioning or automatic fire protective sprinkler system, or a household appliance, on the “residence premises”; or</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A storm drain or water, steam or sewer pipes, off the “residence premises”.</w:t>
      </w:r>
    </w:p>
    <w:p w:rsidR="00176F89" w:rsidRDefault="00176F89" w:rsidP="00176F89">
      <w:pPr>
        <w:jc w:val="both"/>
        <w:rPr>
          <w:rFonts w:ascii="Times New Roman" w:hAnsi="Times New Roman" w:cs="Times New Roman"/>
          <w:sz w:val="24"/>
        </w:rPr>
      </w:pPr>
    </w:p>
    <w:p w:rsidR="00176F89" w:rsidRDefault="00176F89" w:rsidP="00176F89">
      <w:pPr>
        <w:numPr>
          <w:ilvl w:val="0"/>
          <w:numId w:val="7"/>
        </w:numPr>
        <w:jc w:val="both"/>
        <w:rPr>
          <w:rFonts w:ascii="Times New Roman" w:hAnsi="Times New Roman" w:cs="Times New Roman"/>
          <w:sz w:val="24"/>
        </w:rPr>
      </w:pPr>
      <w:r>
        <w:rPr>
          <w:rFonts w:ascii="Times New Roman" w:hAnsi="Times New Roman" w:cs="Times New Roman"/>
          <w:sz w:val="24"/>
        </w:rPr>
        <w:t>Any of the following:</w:t>
      </w:r>
    </w:p>
    <w:p w:rsidR="00176F89" w:rsidRDefault="00176F89" w:rsidP="00176F89">
      <w:pPr>
        <w:ind w:left="360"/>
        <w:jc w:val="both"/>
        <w:rPr>
          <w:rFonts w:ascii="Times New Roman" w:hAnsi="Times New Roman" w:cs="Times New Roman"/>
          <w:sz w:val="24"/>
        </w:rPr>
      </w:pP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Wear and tear, marring, deterioration;</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lastRenderedPageBreak/>
        <w:t>Mechanical breakdown, latent defect, inherent vice, or any quality in property that causes it to damage or destroy itself;</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Smog, rust or other corrosion or dry rot;</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Smoke from agricultural smudging or industrial operations;</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Discharge, dispersal, seepage, migration, release or escape of pollutants unless the discharge, dispersal, seepage, migration, release or escape is itself caused by a Peril Insured Against named under Coverage C of this policy.</w:t>
      </w:r>
    </w:p>
    <w:p w:rsidR="00176F89" w:rsidRDefault="00176F89" w:rsidP="00176F89">
      <w:pPr>
        <w:jc w:val="both"/>
        <w:rPr>
          <w:rFonts w:ascii="Times New Roman" w:hAnsi="Times New Roman" w:cs="Times New Roman"/>
          <w:sz w:val="24"/>
        </w:rPr>
      </w:pPr>
    </w:p>
    <w:p w:rsidR="00176F89" w:rsidRDefault="00176F89" w:rsidP="00176F89">
      <w:pPr>
        <w:ind w:left="1440"/>
        <w:jc w:val="both"/>
        <w:rPr>
          <w:rFonts w:ascii="Times New Roman" w:hAnsi="Times New Roman" w:cs="Times New Roman"/>
          <w:sz w:val="24"/>
        </w:rPr>
      </w:pPr>
      <w:r>
        <w:rPr>
          <w:rFonts w:ascii="Times New Roman" w:hAnsi="Times New Roman" w:cs="Times New Roman"/>
          <w:sz w:val="24"/>
        </w:rPr>
        <w:t>Pollutants means any solid, liquid, gaseous or thermal irritant or contaminant, including smoke, vapor, soot, fumes, acids, alkalis, chemicals and waste.  Waste includes materials to be recycled, reconditioned or reclaimed;</w:t>
      </w:r>
    </w:p>
    <w:p w:rsidR="00176F89" w:rsidRDefault="00176F89" w:rsidP="00176F89">
      <w:pPr>
        <w:jc w:val="both"/>
        <w:rPr>
          <w:rFonts w:ascii="Times New Roman" w:hAnsi="Times New Roman" w:cs="Times New Roman"/>
          <w:sz w:val="24"/>
        </w:rPr>
      </w:pPr>
      <w:r>
        <w:rPr>
          <w:rFonts w:ascii="Times New Roman" w:hAnsi="Times New Roman" w:cs="Times New Roman"/>
          <w:sz w:val="24"/>
        </w:rPr>
        <w:tab/>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Settling, shrinking, bulging or expansion, including resultant cracking, of bulkheads, pavements, patios, footings, foundations, walls, floors, roofs or ceilings;</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Birds, vermin, rodents, or insects; or</w:t>
      </w: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Animals owned or kept by an “insured”.</w:t>
      </w:r>
    </w:p>
    <w:p w:rsidR="00176F89" w:rsidRDefault="00176F89" w:rsidP="00176F89">
      <w:pPr>
        <w:jc w:val="both"/>
        <w:rPr>
          <w:rFonts w:ascii="Times New Roman" w:hAnsi="Times New Roman" w:cs="Times New Roman"/>
          <w:sz w:val="24"/>
        </w:rPr>
      </w:pPr>
    </w:p>
    <w:p w:rsidR="00176F89" w:rsidRDefault="00176F89" w:rsidP="00176F89">
      <w:pPr>
        <w:ind w:left="1080"/>
        <w:jc w:val="both"/>
        <w:rPr>
          <w:rFonts w:ascii="Times New Roman" w:hAnsi="Times New Roman" w:cs="Times New Roman"/>
          <w:b/>
          <w:bCs/>
          <w:sz w:val="24"/>
        </w:rPr>
      </w:pPr>
      <w:r>
        <w:rPr>
          <w:rFonts w:ascii="Times New Roman" w:hAnsi="Times New Roman" w:cs="Times New Roman"/>
          <w:b/>
          <w:bCs/>
          <w:sz w:val="24"/>
        </w:rPr>
        <w:t>Exception to c.(6)</w:t>
      </w:r>
    </w:p>
    <w:p w:rsidR="00176F89" w:rsidRPr="00805CBB" w:rsidRDefault="00176F89" w:rsidP="00176F89">
      <w:pPr>
        <w:ind w:left="1080"/>
        <w:jc w:val="both"/>
        <w:rPr>
          <w:rFonts w:ascii="Times New Roman" w:hAnsi="Times New Roman" w:cs="Times New Roman"/>
          <w:sz w:val="24"/>
          <w:szCs w:val="24"/>
        </w:rPr>
      </w:pPr>
    </w:p>
    <w:p w:rsidR="00176F89" w:rsidRPr="00805CBB" w:rsidRDefault="00176F89" w:rsidP="00176F89">
      <w:pPr>
        <w:pStyle w:val="BodyTextIndent"/>
        <w:rPr>
          <w:rFonts w:ascii="Times New Roman" w:hAnsi="Times New Roman" w:cs="Times New Roman"/>
          <w:sz w:val="24"/>
          <w:szCs w:val="24"/>
        </w:rPr>
      </w:pPr>
      <w:r w:rsidRPr="00805CBB">
        <w:rPr>
          <w:rFonts w:ascii="Times New Roman" w:hAnsi="Times New Roman" w:cs="Times New Roman"/>
          <w:sz w:val="24"/>
          <w:szCs w:val="24"/>
        </w:rPr>
        <w:t>Unless the loss is otherwise excluded, we cover loss to property covered under Coverage A resulting from an accidental discharge or overflow of water or steam from within a:</w:t>
      </w:r>
    </w:p>
    <w:p w:rsidR="00176F89" w:rsidRDefault="00176F89" w:rsidP="00176F89">
      <w:pPr>
        <w:ind w:left="1080"/>
        <w:jc w:val="both"/>
        <w:rPr>
          <w:rFonts w:ascii="Times New Roman" w:hAnsi="Times New Roman" w:cs="Times New Roman"/>
          <w:sz w:val="24"/>
        </w:rPr>
      </w:pPr>
    </w:p>
    <w:p w:rsidR="00176F89" w:rsidRDefault="00176F89" w:rsidP="00176F89">
      <w:pPr>
        <w:numPr>
          <w:ilvl w:val="1"/>
          <w:numId w:val="7"/>
        </w:numPr>
        <w:jc w:val="both"/>
        <w:rPr>
          <w:rFonts w:ascii="Times New Roman" w:hAnsi="Times New Roman" w:cs="Times New Roman"/>
          <w:sz w:val="24"/>
        </w:rPr>
      </w:pPr>
      <w:r>
        <w:rPr>
          <w:rFonts w:ascii="Times New Roman" w:hAnsi="Times New Roman" w:cs="Times New Roman"/>
          <w:sz w:val="24"/>
        </w:rPr>
        <w:t>Storm drain, or water, steam or sewer pipe, off the “residence premises”, or</w:t>
      </w:r>
    </w:p>
    <w:p w:rsidR="00176F89" w:rsidRDefault="00176F89" w:rsidP="000D3EE4">
      <w:pPr>
        <w:ind w:left="1440" w:hanging="420"/>
        <w:jc w:val="both"/>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ab/>
        <w:t>Plumbing, heating, air conditioning or automatic fire protective sprinkler system or  household appliance on the “residence premises”.  This includes the cost to tear out and replace any part of a building, or other structure owned solely by you, at the location of the “residence premises”, but only when necessary to repair the system or appliance.  However such tear out and replacement coverage only applies to other structures if the water or steam causes actual damage to a building owned solely by you at the location of the “residence premises”.</w:t>
      </w:r>
    </w:p>
    <w:p w:rsidR="00176F89" w:rsidRDefault="00176F89" w:rsidP="00176F89">
      <w:pPr>
        <w:ind w:left="1080"/>
        <w:jc w:val="both"/>
        <w:rPr>
          <w:rFonts w:ascii="Times New Roman" w:hAnsi="Times New Roman" w:cs="Times New Roman"/>
          <w:sz w:val="24"/>
        </w:rPr>
      </w:pPr>
      <w:r>
        <w:rPr>
          <w:rFonts w:ascii="Times New Roman" w:hAnsi="Times New Roman" w:cs="Times New Roman"/>
          <w:sz w:val="24"/>
        </w:rPr>
        <w:t xml:space="preserve">       </w:t>
      </w:r>
    </w:p>
    <w:p w:rsidR="00176F89" w:rsidRDefault="00176F89" w:rsidP="00176F89">
      <w:pPr>
        <w:jc w:val="both"/>
        <w:rPr>
          <w:rFonts w:ascii="Times New Roman" w:hAnsi="Times New Roman" w:cs="Times New Roman"/>
          <w:sz w:val="24"/>
        </w:rPr>
      </w:pPr>
      <w:r>
        <w:rPr>
          <w:rFonts w:ascii="Times New Roman" w:hAnsi="Times New Roman" w:cs="Times New Roman"/>
          <w:sz w:val="24"/>
        </w:rPr>
        <w:tab/>
        <w:t xml:space="preserve">    We do not cover loss to the system or appliance from which this water or steam escaped.</w:t>
      </w:r>
    </w:p>
    <w:p w:rsidR="00176F89" w:rsidRDefault="00176F89" w:rsidP="00176F89">
      <w:pPr>
        <w:jc w:val="both"/>
        <w:rPr>
          <w:rFonts w:ascii="Times New Roman" w:hAnsi="Times New Roman" w:cs="Times New Roman"/>
          <w:sz w:val="24"/>
        </w:rPr>
      </w:pPr>
      <w:r>
        <w:rPr>
          <w:rFonts w:ascii="Times New Roman" w:hAnsi="Times New Roman" w:cs="Times New Roman"/>
          <w:sz w:val="24"/>
        </w:rPr>
        <w:tab/>
      </w:r>
    </w:p>
    <w:p w:rsidR="00176F89" w:rsidRDefault="00176F89" w:rsidP="00176F89">
      <w:pPr>
        <w:ind w:left="2160"/>
        <w:jc w:val="both"/>
        <w:rPr>
          <w:rFonts w:ascii="Times New Roman" w:hAnsi="Times New Roman" w:cs="Times New Roman"/>
          <w:sz w:val="24"/>
        </w:rPr>
      </w:pPr>
      <w:r>
        <w:rPr>
          <w:rFonts w:ascii="Times New Roman" w:hAnsi="Times New Roman" w:cs="Times New Roman"/>
          <w:sz w:val="24"/>
        </w:rPr>
        <w:t>For the purposes or this provision, a plumbing system or household appliance does not include a sump pump or related equipment or a roof drain, gutter, down spout or similar fixtures or equipment.</w:t>
      </w:r>
    </w:p>
    <w:p w:rsidR="00176F89" w:rsidRDefault="00176F89" w:rsidP="00176F89">
      <w:pPr>
        <w:jc w:val="both"/>
        <w:rPr>
          <w:rFonts w:ascii="Times New Roman" w:hAnsi="Times New Roman" w:cs="Times New Roman"/>
          <w:sz w:val="24"/>
        </w:rPr>
      </w:pPr>
      <w:r>
        <w:rPr>
          <w:rFonts w:ascii="Times New Roman" w:hAnsi="Times New Roman" w:cs="Times New Roman"/>
          <w:sz w:val="24"/>
        </w:rPr>
        <w:tab/>
      </w:r>
    </w:p>
    <w:p w:rsidR="00176F89" w:rsidRDefault="00176F89" w:rsidP="00176F89">
      <w:pPr>
        <w:ind w:left="1440"/>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b/>
          <w:bCs/>
          <w:sz w:val="24"/>
        </w:rPr>
        <w:t>1</w:t>
      </w:r>
      <w:r>
        <w:rPr>
          <w:rFonts w:ascii="Times New Roman" w:hAnsi="Times New Roman" w:cs="Times New Roman"/>
          <w:sz w:val="24"/>
        </w:rPr>
        <w:t xml:space="preserve"> – Exclusion </w:t>
      </w:r>
      <w:r>
        <w:rPr>
          <w:rFonts w:ascii="Times New Roman" w:hAnsi="Times New Roman" w:cs="Times New Roman"/>
          <w:b/>
          <w:bCs/>
          <w:sz w:val="24"/>
        </w:rPr>
        <w:t>3.</w:t>
      </w:r>
      <w:r>
        <w:rPr>
          <w:rFonts w:ascii="Times New Roman" w:hAnsi="Times New Roman" w:cs="Times New Roman"/>
          <w:sz w:val="24"/>
        </w:rPr>
        <w:t xml:space="preserve"> Water Damage, Paragraphs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c.</w:t>
      </w:r>
      <w:r>
        <w:rPr>
          <w:rFonts w:ascii="Times New Roman" w:hAnsi="Times New Roman" w:cs="Times New Roman"/>
          <w:sz w:val="24"/>
        </w:rPr>
        <w:t xml:space="preserve"> that apply to surface water and water below the surface of the ground, do not apply to loss by water covered under </w:t>
      </w:r>
      <w:r>
        <w:rPr>
          <w:rFonts w:ascii="Times New Roman" w:hAnsi="Times New Roman" w:cs="Times New Roman"/>
          <w:b/>
          <w:bCs/>
          <w:sz w:val="24"/>
        </w:rPr>
        <w:t>c. (5)</w:t>
      </w:r>
      <w:r>
        <w:rPr>
          <w:rFonts w:ascii="Times New Roman" w:hAnsi="Times New Roman" w:cs="Times New Roman"/>
          <w:sz w:val="24"/>
        </w:rPr>
        <w:t xml:space="preserve"> and </w:t>
      </w:r>
      <w:r>
        <w:rPr>
          <w:rFonts w:ascii="Times New Roman" w:hAnsi="Times New Roman" w:cs="Times New Roman"/>
          <w:b/>
          <w:bCs/>
          <w:sz w:val="24"/>
        </w:rPr>
        <w:t>(6)</w:t>
      </w:r>
      <w:r>
        <w:rPr>
          <w:rFonts w:ascii="Times New Roman" w:hAnsi="Times New Roman" w:cs="Times New Roman"/>
          <w:sz w:val="24"/>
        </w:rPr>
        <w:t xml:space="preserve"> above.</w:t>
      </w:r>
    </w:p>
    <w:p w:rsidR="00176F89" w:rsidRDefault="00176F89" w:rsidP="00176F89">
      <w:pPr>
        <w:ind w:left="1440"/>
        <w:jc w:val="both"/>
        <w:rPr>
          <w:rFonts w:ascii="Times New Roman" w:hAnsi="Times New Roman" w:cs="Times New Roman"/>
          <w:sz w:val="24"/>
        </w:rPr>
      </w:pPr>
    </w:p>
    <w:p w:rsidR="00176F89" w:rsidRDefault="00176F89" w:rsidP="00176F89">
      <w:pPr>
        <w:ind w:left="1440"/>
        <w:jc w:val="both"/>
        <w:rPr>
          <w:rFonts w:ascii="Times New Roman" w:hAnsi="Times New Roman" w:cs="Times New Roman"/>
          <w:sz w:val="24"/>
        </w:rPr>
      </w:pPr>
      <w:r>
        <w:rPr>
          <w:rFonts w:ascii="Times New Roman" w:hAnsi="Times New Roman" w:cs="Times New Roman"/>
          <w:sz w:val="24"/>
        </w:rPr>
        <w:t xml:space="preserve">Under </w:t>
      </w:r>
      <w:r>
        <w:rPr>
          <w:rFonts w:ascii="Times New Roman" w:hAnsi="Times New Roman" w:cs="Times New Roman"/>
          <w:b/>
          <w:bCs/>
          <w:sz w:val="24"/>
        </w:rPr>
        <w:t>2.b.</w:t>
      </w:r>
      <w:r>
        <w:rPr>
          <w:rFonts w:ascii="Times New Roman" w:hAnsi="Times New Roman" w:cs="Times New Roman"/>
          <w:sz w:val="24"/>
        </w:rPr>
        <w:t xml:space="preserve"> and </w:t>
      </w:r>
      <w:r>
        <w:rPr>
          <w:rFonts w:ascii="Times New Roman" w:hAnsi="Times New Roman" w:cs="Times New Roman"/>
          <w:b/>
          <w:bCs/>
          <w:sz w:val="24"/>
        </w:rPr>
        <w:t>c.</w:t>
      </w:r>
      <w:r>
        <w:rPr>
          <w:rFonts w:ascii="Times New Roman" w:hAnsi="Times New Roman" w:cs="Times New Roman"/>
          <w:sz w:val="24"/>
        </w:rPr>
        <w:t xml:space="preserve"> above, any ensuing loss to property described in Coverage </w:t>
      </w:r>
      <w:r>
        <w:rPr>
          <w:rFonts w:ascii="Times New Roman" w:hAnsi="Times New Roman" w:cs="Times New Roman"/>
          <w:b/>
          <w:bCs/>
          <w:sz w:val="24"/>
        </w:rPr>
        <w:t>A</w:t>
      </w:r>
      <w:r>
        <w:rPr>
          <w:rFonts w:ascii="Times New Roman" w:hAnsi="Times New Roman" w:cs="Times New Roman"/>
          <w:sz w:val="24"/>
        </w:rPr>
        <w:t xml:space="preserve"> not precluded by any other provision in this policy is covered.</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bCs/>
          <w:sz w:val="24"/>
        </w:rPr>
        <w:t>SECTION 1 – EXCLUSIONS</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ab/>
        <w:t>The following exclusions are added:</w:t>
      </w:r>
    </w:p>
    <w:p w:rsidR="00176F89" w:rsidRDefault="00176F89" w:rsidP="00176F89">
      <w:pPr>
        <w:jc w:val="both"/>
        <w:rPr>
          <w:rFonts w:ascii="Times New Roman" w:hAnsi="Times New Roman" w:cs="Times New Roman"/>
          <w:sz w:val="24"/>
        </w:rPr>
      </w:pPr>
    </w:p>
    <w:p w:rsidR="00176F89" w:rsidRDefault="00176F89" w:rsidP="00176F89">
      <w:pPr>
        <w:ind w:left="720"/>
        <w:jc w:val="both"/>
        <w:rPr>
          <w:rFonts w:ascii="Times New Roman" w:hAnsi="Times New Roman" w:cs="Times New Roman"/>
          <w:sz w:val="24"/>
        </w:rPr>
      </w:pPr>
      <w:r>
        <w:rPr>
          <w:rFonts w:ascii="Times New Roman" w:hAnsi="Times New Roman" w:cs="Times New Roman"/>
          <w:sz w:val="24"/>
        </w:rPr>
        <w:lastRenderedPageBreak/>
        <w:t xml:space="preserve">We do not insure for loss to property described in Coverage </w:t>
      </w:r>
      <w:r>
        <w:rPr>
          <w:rFonts w:ascii="Times New Roman" w:hAnsi="Times New Roman" w:cs="Times New Roman"/>
          <w:b/>
          <w:bCs/>
          <w:sz w:val="24"/>
        </w:rPr>
        <w:t>A</w:t>
      </w:r>
      <w:r>
        <w:rPr>
          <w:rFonts w:ascii="Times New Roman" w:hAnsi="Times New Roman" w:cs="Times New Roman"/>
          <w:sz w:val="24"/>
        </w:rPr>
        <w:t xml:space="preserve"> caused by any of the following.  However, any ensuing loss to property described in Coverage </w:t>
      </w:r>
      <w:r>
        <w:rPr>
          <w:rFonts w:ascii="Times New Roman" w:hAnsi="Times New Roman" w:cs="Times New Roman"/>
          <w:b/>
          <w:bCs/>
          <w:sz w:val="24"/>
        </w:rPr>
        <w:t>A</w:t>
      </w:r>
      <w:r>
        <w:rPr>
          <w:rFonts w:ascii="Times New Roman" w:hAnsi="Times New Roman" w:cs="Times New Roman"/>
          <w:sz w:val="24"/>
        </w:rPr>
        <w:t xml:space="preserve"> not precluded by any other provision in this policy is covered.</w:t>
      </w:r>
    </w:p>
    <w:p w:rsidR="00176F89" w:rsidRDefault="00176F89" w:rsidP="00176F89">
      <w:pPr>
        <w:jc w:val="both"/>
        <w:rPr>
          <w:rFonts w:ascii="Times New Roman" w:hAnsi="Times New Roman" w:cs="Times New Roman"/>
          <w:sz w:val="24"/>
        </w:rPr>
      </w:pPr>
    </w:p>
    <w:p w:rsidR="00176F89" w:rsidRDefault="00176F89" w:rsidP="00176F89">
      <w:pPr>
        <w:numPr>
          <w:ilvl w:val="0"/>
          <w:numId w:val="8"/>
        </w:numPr>
        <w:jc w:val="both"/>
        <w:rPr>
          <w:rFonts w:ascii="Times New Roman" w:hAnsi="Times New Roman" w:cs="Times New Roman"/>
          <w:sz w:val="24"/>
        </w:rPr>
      </w:pPr>
      <w:r>
        <w:rPr>
          <w:rFonts w:ascii="Times New Roman" w:hAnsi="Times New Roman" w:cs="Times New Roman"/>
          <w:sz w:val="24"/>
        </w:rPr>
        <w:t xml:space="preserve">Weather conditions.  However, this exclusion only applies if weather conditions contribute in any way with a cause or event excluded in Section </w:t>
      </w:r>
      <w:r>
        <w:rPr>
          <w:rFonts w:ascii="Times New Roman" w:hAnsi="Times New Roman" w:cs="Times New Roman"/>
          <w:b/>
          <w:bCs/>
          <w:sz w:val="24"/>
        </w:rPr>
        <w:t>1</w:t>
      </w:r>
      <w:r>
        <w:rPr>
          <w:rFonts w:ascii="Times New Roman" w:hAnsi="Times New Roman" w:cs="Times New Roman"/>
          <w:sz w:val="24"/>
        </w:rPr>
        <w:t xml:space="preserve"> – Exclusions, other than Exclusions </w:t>
      </w:r>
      <w:r>
        <w:rPr>
          <w:rFonts w:ascii="Times New Roman" w:hAnsi="Times New Roman" w:cs="Times New Roman"/>
          <w:b/>
          <w:bCs/>
          <w:sz w:val="24"/>
        </w:rPr>
        <w:t xml:space="preserve">2. </w:t>
      </w:r>
      <w:r>
        <w:rPr>
          <w:rFonts w:ascii="Times New Roman" w:hAnsi="Times New Roman" w:cs="Times New Roman"/>
          <w:sz w:val="24"/>
        </w:rPr>
        <w:t xml:space="preserve"> and </w:t>
      </w:r>
      <w:r>
        <w:rPr>
          <w:rFonts w:ascii="Times New Roman" w:hAnsi="Times New Roman" w:cs="Times New Roman"/>
          <w:b/>
          <w:bCs/>
          <w:sz w:val="24"/>
        </w:rPr>
        <w:t>3.</w:t>
      </w:r>
      <w:r>
        <w:rPr>
          <w:rFonts w:ascii="Times New Roman" w:hAnsi="Times New Roman" w:cs="Times New Roman"/>
          <w:sz w:val="24"/>
        </w:rPr>
        <w:t xml:space="preserve"> below, to produce the loss;</w:t>
      </w:r>
    </w:p>
    <w:p w:rsidR="00176F89" w:rsidRDefault="00176F89" w:rsidP="00176F89">
      <w:pPr>
        <w:numPr>
          <w:ilvl w:val="0"/>
          <w:numId w:val="8"/>
        </w:numPr>
        <w:jc w:val="both"/>
        <w:rPr>
          <w:rFonts w:ascii="Times New Roman" w:hAnsi="Times New Roman" w:cs="Times New Roman"/>
          <w:sz w:val="24"/>
        </w:rPr>
      </w:pPr>
      <w:r>
        <w:rPr>
          <w:rFonts w:ascii="Times New Roman" w:hAnsi="Times New Roman" w:cs="Times New Roman"/>
          <w:sz w:val="24"/>
        </w:rPr>
        <w:t>Acts or decisions, including the failure to act or decide, of any person, group, organization or governmental body; or</w:t>
      </w:r>
    </w:p>
    <w:p w:rsidR="00176F89" w:rsidRDefault="00176F89" w:rsidP="00176F89">
      <w:pPr>
        <w:numPr>
          <w:ilvl w:val="0"/>
          <w:numId w:val="8"/>
        </w:numPr>
        <w:jc w:val="both"/>
        <w:rPr>
          <w:rFonts w:ascii="Times New Roman" w:hAnsi="Times New Roman" w:cs="Times New Roman"/>
          <w:sz w:val="24"/>
        </w:rPr>
      </w:pPr>
      <w:r>
        <w:rPr>
          <w:rFonts w:ascii="Times New Roman" w:hAnsi="Times New Roman" w:cs="Times New Roman"/>
          <w:sz w:val="24"/>
        </w:rPr>
        <w:t>Faulty, inadequate or defective:</w:t>
      </w:r>
    </w:p>
    <w:p w:rsidR="00176F89" w:rsidRDefault="00176F89" w:rsidP="00176F89">
      <w:pPr>
        <w:jc w:val="both"/>
        <w:rPr>
          <w:rFonts w:ascii="Times New Roman" w:hAnsi="Times New Roman" w:cs="Times New Roman"/>
          <w:sz w:val="24"/>
        </w:rPr>
      </w:pPr>
    </w:p>
    <w:p w:rsidR="00176F89" w:rsidRDefault="00176F89" w:rsidP="00176F89">
      <w:pPr>
        <w:numPr>
          <w:ilvl w:val="1"/>
          <w:numId w:val="8"/>
        </w:numPr>
        <w:jc w:val="both"/>
        <w:rPr>
          <w:rFonts w:ascii="Times New Roman" w:hAnsi="Times New Roman" w:cs="Times New Roman"/>
          <w:sz w:val="24"/>
        </w:rPr>
      </w:pPr>
      <w:r>
        <w:rPr>
          <w:rFonts w:ascii="Times New Roman" w:hAnsi="Times New Roman" w:cs="Times New Roman"/>
          <w:sz w:val="24"/>
        </w:rPr>
        <w:t>Planning, zoning, development, surveying, siting;</w:t>
      </w:r>
    </w:p>
    <w:p w:rsidR="00176F89" w:rsidRDefault="00176F89" w:rsidP="00176F89">
      <w:pPr>
        <w:numPr>
          <w:ilvl w:val="1"/>
          <w:numId w:val="8"/>
        </w:numPr>
        <w:jc w:val="both"/>
        <w:rPr>
          <w:rFonts w:ascii="Times New Roman" w:hAnsi="Times New Roman" w:cs="Times New Roman"/>
          <w:sz w:val="24"/>
        </w:rPr>
      </w:pPr>
      <w:r>
        <w:rPr>
          <w:rFonts w:ascii="Times New Roman" w:hAnsi="Times New Roman" w:cs="Times New Roman"/>
          <w:sz w:val="24"/>
        </w:rPr>
        <w:t>Design, specifications, workmanship, repair, construction, renovation, remodeling, grading, compaction;</w:t>
      </w:r>
    </w:p>
    <w:p w:rsidR="00176F89" w:rsidRDefault="00176F89" w:rsidP="00176F89">
      <w:pPr>
        <w:numPr>
          <w:ilvl w:val="1"/>
          <w:numId w:val="8"/>
        </w:numPr>
        <w:jc w:val="both"/>
        <w:rPr>
          <w:rFonts w:ascii="Times New Roman" w:hAnsi="Times New Roman" w:cs="Times New Roman"/>
          <w:sz w:val="24"/>
        </w:rPr>
      </w:pPr>
      <w:r>
        <w:rPr>
          <w:rFonts w:ascii="Times New Roman" w:hAnsi="Times New Roman" w:cs="Times New Roman"/>
          <w:sz w:val="24"/>
        </w:rPr>
        <w:t>Materials used in repair, construction, renovation or remodeling; or</w:t>
      </w:r>
    </w:p>
    <w:p w:rsidR="00176F89" w:rsidRDefault="00176F89" w:rsidP="00176F89">
      <w:pPr>
        <w:numPr>
          <w:ilvl w:val="1"/>
          <w:numId w:val="8"/>
        </w:numPr>
        <w:jc w:val="both"/>
        <w:rPr>
          <w:rFonts w:ascii="Times New Roman" w:hAnsi="Times New Roman" w:cs="Times New Roman"/>
          <w:sz w:val="24"/>
        </w:rPr>
      </w:pPr>
      <w:r>
        <w:rPr>
          <w:rFonts w:ascii="Times New Roman" w:hAnsi="Times New Roman" w:cs="Times New Roman"/>
          <w:sz w:val="24"/>
        </w:rPr>
        <w:t>Maintenance;</w:t>
      </w:r>
    </w:p>
    <w:p w:rsidR="00176F89" w:rsidRDefault="00176F89" w:rsidP="00176F89">
      <w:pPr>
        <w:ind w:left="1440"/>
        <w:jc w:val="both"/>
        <w:rPr>
          <w:rFonts w:ascii="Times New Roman" w:hAnsi="Times New Roman" w:cs="Times New Roman"/>
          <w:sz w:val="24"/>
        </w:rPr>
      </w:pPr>
    </w:p>
    <w:p w:rsidR="00176F89" w:rsidRDefault="00176F89" w:rsidP="00176F89">
      <w:pPr>
        <w:ind w:left="1440"/>
        <w:jc w:val="both"/>
        <w:rPr>
          <w:rFonts w:ascii="Times New Roman" w:hAnsi="Times New Roman" w:cs="Times New Roman"/>
          <w:sz w:val="24"/>
        </w:rPr>
      </w:pPr>
      <w:r>
        <w:rPr>
          <w:rFonts w:ascii="Times New Roman" w:hAnsi="Times New Roman" w:cs="Times New Roman"/>
          <w:sz w:val="24"/>
        </w:rPr>
        <w:t>of part or all of any property whether on or off the “residence premises”.</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ab/>
        <w:t>All other provisions of this policy apply.”</w:t>
      </w:r>
    </w:p>
    <w:p w:rsidR="00176F89" w:rsidRDefault="00176F89" w:rsidP="00176F89">
      <w:pPr>
        <w:ind w:left="1440"/>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176F89" w:rsidRDefault="00176F89" w:rsidP="00176F89">
      <w:pPr>
        <w:jc w:val="both"/>
        <w:rPr>
          <w:rFonts w:ascii="Times New Roman" w:hAnsi="Times New Roman" w:cs="Times New Roman"/>
          <w:sz w:val="24"/>
        </w:rPr>
      </w:pPr>
    </w:p>
    <w:p w:rsidR="000D3EE4" w:rsidRPr="00F97272" w:rsidRDefault="000D3EE4" w:rsidP="000D3EE4">
      <w:pPr>
        <w:jc w:val="both"/>
        <w:rPr>
          <w:rFonts w:ascii="Times New Roman" w:hAnsi="Times New Roman" w:cs="Times New Roman"/>
          <w:sz w:val="24"/>
          <w:szCs w:val="24"/>
        </w:rPr>
      </w:pPr>
      <w:r w:rsidRPr="00F97272">
        <w:rPr>
          <w:rFonts w:ascii="Times New Roman" w:hAnsi="Times New Roman" w:cs="Times New Roman"/>
          <w:sz w:val="24"/>
          <w:szCs w:val="24"/>
        </w:rPr>
        <w:t>Please be advised that the statute of limitations is two (2) years from the date of loss for property claims (Section 1 policy claims).</w:t>
      </w:r>
    </w:p>
    <w:p w:rsidR="000D3EE4" w:rsidRDefault="000D3EE4"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r>
        <w:rPr>
          <w:rFonts w:ascii="Times New Roman" w:hAnsi="Times New Roman" w:cs="Times New Roman"/>
          <w:sz w:val="24"/>
        </w:rPr>
        <w:t>Respectfully,</w:t>
      </w:r>
    </w:p>
    <w:p w:rsidR="00176F89" w:rsidRDefault="00176F89" w:rsidP="00176F89">
      <w:pPr>
        <w:jc w:val="both"/>
        <w:rPr>
          <w:rFonts w:ascii="Times New Roman" w:hAnsi="Times New Roman" w:cs="Times New Roman"/>
          <w:sz w:val="24"/>
        </w:rPr>
      </w:pPr>
    </w:p>
    <w:p w:rsidR="00176F89" w:rsidRDefault="00176F89" w:rsidP="00176F89">
      <w:pPr>
        <w:jc w:val="both"/>
        <w:rPr>
          <w:rFonts w:ascii="Times New Roman" w:hAnsi="Times New Roman" w:cs="Times New Roman"/>
          <w:sz w:val="24"/>
        </w:rPr>
      </w:pPr>
    </w:p>
    <w:p w:rsidR="00957FE6" w:rsidRDefault="00176F89" w:rsidP="00805CBB">
      <w:pPr>
        <w:jc w:val="both"/>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B9" w:rsidRDefault="00307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B9" w:rsidRDefault="00307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B9" w:rsidRDefault="00307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B9" w:rsidRDefault="00307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307DB9" w:rsidRDefault="004F40AC" w:rsidP="00307DB9">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4AD"/>
    <w:multiLevelType w:val="hybridMultilevel"/>
    <w:tmpl w:val="F81A9BE8"/>
    <w:lvl w:ilvl="0" w:tplc="1E7E2644">
      <w:start w:val="1"/>
      <w:numFmt w:val="decimal"/>
      <w:lvlText w:val="%1."/>
      <w:lvlJc w:val="left"/>
      <w:pPr>
        <w:tabs>
          <w:tab w:val="num" w:pos="1440"/>
        </w:tabs>
        <w:ind w:left="1440" w:hanging="720"/>
      </w:pPr>
      <w:rPr>
        <w:rFonts w:hint="default"/>
        <w:b/>
      </w:rPr>
    </w:lvl>
    <w:lvl w:ilvl="1" w:tplc="B462C542">
      <w:start w:val="1"/>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0F415D00"/>
    <w:multiLevelType w:val="hybridMultilevel"/>
    <w:tmpl w:val="CD942F70"/>
    <w:lvl w:ilvl="0" w:tplc="5E80B19E">
      <w:start w:val="2"/>
      <w:numFmt w:val="decimal"/>
      <w:lvlText w:val="(%1)"/>
      <w:lvlJc w:val="left"/>
      <w:pPr>
        <w:tabs>
          <w:tab w:val="num" w:pos="1080"/>
        </w:tabs>
        <w:ind w:left="1080" w:hanging="720"/>
      </w:pPr>
      <w:rPr>
        <w:rFonts w:hint="default"/>
        <w:b/>
      </w:rPr>
    </w:lvl>
    <w:lvl w:ilvl="1" w:tplc="73026FFE">
      <w:start w:val="1"/>
      <w:numFmt w:val="lowerLetter"/>
      <w:lvlText w:val="(%2)"/>
      <w:lvlJc w:val="left"/>
      <w:pPr>
        <w:tabs>
          <w:tab w:val="num" w:pos="1440"/>
        </w:tabs>
        <w:ind w:left="1440" w:hanging="360"/>
      </w:pPr>
      <w:rPr>
        <w:rFonts w:hint="default"/>
      </w:rPr>
    </w:lvl>
    <w:lvl w:ilvl="2" w:tplc="57304636">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95B8E"/>
    <w:multiLevelType w:val="singleLevel"/>
    <w:tmpl w:val="56660456"/>
    <w:lvl w:ilvl="0">
      <w:start w:val="7"/>
      <w:numFmt w:val="decimal"/>
      <w:lvlText w:val="%1."/>
      <w:lvlJc w:val="left"/>
      <w:pPr>
        <w:tabs>
          <w:tab w:val="num" w:pos="360"/>
        </w:tabs>
        <w:ind w:left="360" w:hanging="360"/>
      </w:pPr>
      <w:rPr>
        <w:rFonts w:hint="default"/>
        <w:b/>
      </w:rPr>
    </w:lvl>
  </w:abstractNum>
  <w:abstractNum w:abstractNumId="4">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5">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6">
    <w:nsid w:val="5D281BDC"/>
    <w:multiLevelType w:val="hybridMultilevel"/>
    <w:tmpl w:val="AA74D088"/>
    <w:lvl w:ilvl="0" w:tplc="72B4CCC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4B1CE9"/>
    <w:multiLevelType w:val="hybridMultilevel"/>
    <w:tmpl w:val="159A25E2"/>
    <w:lvl w:ilvl="0" w:tplc="3B4C3AD6">
      <w:start w:val="1"/>
      <w:numFmt w:val="lowerLetter"/>
      <w:lvlText w:val="%1."/>
      <w:lvlJc w:val="left"/>
      <w:pPr>
        <w:tabs>
          <w:tab w:val="num" w:pos="1080"/>
        </w:tabs>
        <w:ind w:left="1080" w:hanging="360"/>
      </w:pPr>
      <w:rPr>
        <w:rFonts w:hint="default"/>
        <w:b/>
      </w:rPr>
    </w:lvl>
    <w:lvl w:ilvl="1" w:tplc="CB16C320">
      <w:start w:val="1"/>
      <w:numFmt w:val="lowerLetter"/>
      <w:lvlText w:val="(%2)"/>
      <w:lvlJc w:val="left"/>
      <w:pPr>
        <w:tabs>
          <w:tab w:val="num" w:pos="1860"/>
        </w:tabs>
        <w:ind w:left="1860" w:hanging="4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D3EE4"/>
    <w:rsid w:val="000F7BE3"/>
    <w:rsid w:val="001173F8"/>
    <w:rsid w:val="00155844"/>
    <w:rsid w:val="00176F89"/>
    <w:rsid w:val="0019221A"/>
    <w:rsid w:val="001F6A0B"/>
    <w:rsid w:val="00264174"/>
    <w:rsid w:val="002950B6"/>
    <w:rsid w:val="0030324C"/>
    <w:rsid w:val="00307DB9"/>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6E11"/>
    <w:rsid w:val="007C0352"/>
    <w:rsid w:val="00805CBB"/>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F2FEDCE-F027-417C-9885-3394A871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2014-07-08T15:59:00Z</dcterms:created>
  <dcterms:modified xsi:type="dcterms:W3CDTF">2014-10-01T13:37:00Z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